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D6B062" w14:textId="77777777" w:rsidR="00C31E1F" w:rsidRPr="00A93EAD" w:rsidRDefault="00A93EAD">
      <w:pPr>
        <w:spacing w:after="0" w:line="259" w:lineRule="auto"/>
        <w:ind w:left="15" w:right="3"/>
        <w:jc w:val="center"/>
        <w:rPr>
          <w:rFonts w:asciiTheme="minorHAnsi" w:hAnsiTheme="minorHAnsi" w:cstheme="minorHAnsi"/>
          <w:sz w:val="22"/>
        </w:rPr>
      </w:pPr>
      <w:r w:rsidRPr="00A93EAD">
        <w:rPr>
          <w:rFonts w:asciiTheme="minorHAnsi" w:hAnsiTheme="minorHAnsi" w:cstheme="minorHAnsi"/>
          <w:b/>
          <w:sz w:val="22"/>
        </w:rPr>
        <w:t xml:space="preserve">GUIDANCE AND INFORMATION FOR Barley Close Primary School </w:t>
      </w:r>
    </w:p>
    <w:p w14:paraId="1A398475" w14:textId="77777777" w:rsidR="00C31E1F" w:rsidRPr="00A93EAD" w:rsidRDefault="00A93EAD">
      <w:pPr>
        <w:spacing w:after="0" w:line="259" w:lineRule="auto"/>
        <w:ind w:left="75" w:firstLine="0"/>
        <w:jc w:val="center"/>
        <w:rPr>
          <w:rFonts w:asciiTheme="minorHAnsi" w:hAnsiTheme="minorHAnsi" w:cstheme="minorHAnsi"/>
          <w:sz w:val="22"/>
        </w:rPr>
      </w:pPr>
      <w:r w:rsidRPr="00A93EAD">
        <w:rPr>
          <w:rFonts w:asciiTheme="minorHAnsi" w:hAnsiTheme="minorHAnsi" w:cstheme="minorHAnsi"/>
          <w:b/>
          <w:sz w:val="22"/>
        </w:rPr>
        <w:t xml:space="preserve"> </w:t>
      </w:r>
    </w:p>
    <w:p w14:paraId="2B9B42DD" w14:textId="77777777" w:rsidR="00C31E1F" w:rsidRPr="00A93EAD" w:rsidRDefault="00A93EAD">
      <w:pPr>
        <w:spacing w:after="0" w:line="259" w:lineRule="auto"/>
        <w:ind w:left="15"/>
        <w:jc w:val="center"/>
        <w:rPr>
          <w:rFonts w:asciiTheme="minorHAnsi" w:hAnsiTheme="minorHAnsi" w:cstheme="minorHAnsi"/>
          <w:sz w:val="22"/>
        </w:rPr>
      </w:pPr>
      <w:r w:rsidRPr="00A93EAD">
        <w:rPr>
          <w:rFonts w:asciiTheme="minorHAnsi" w:hAnsiTheme="minorHAnsi" w:cstheme="minorHAnsi"/>
          <w:b/>
          <w:sz w:val="22"/>
        </w:rPr>
        <w:t xml:space="preserve">GENDER REASSIGNMENT </w:t>
      </w:r>
    </w:p>
    <w:p w14:paraId="7E60E143"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65AEC465" w14:textId="77777777" w:rsidR="00C31E1F" w:rsidRPr="00A93EAD" w:rsidRDefault="00A93EAD" w:rsidP="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Introduction </w:t>
      </w:r>
    </w:p>
    <w:p w14:paraId="7CB136AC"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358B5879" w14:textId="7777777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“Gender Reassignment” is a Protected Characteristic identified within The Equality Act 2010. </w:t>
      </w:r>
    </w:p>
    <w:p w14:paraId="3DCDFAB1"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22171EE3" w14:textId="7777777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The Equality Act 2010 says that you must not be discriminated against because you are transsexual, when your gender identity is different from the gender assigned to you when you were born. For example: </w:t>
      </w:r>
    </w:p>
    <w:p w14:paraId="6C08A1FC"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223B313E" w14:textId="77777777" w:rsidR="00C31E1F" w:rsidRPr="00A93EAD" w:rsidRDefault="00A93EAD" w:rsidP="00A93EAD">
      <w:pPr>
        <w:pStyle w:val="ListParagraph"/>
        <w:numPr>
          <w:ilvl w:val="0"/>
          <w:numId w:val="4"/>
        </w:numPr>
        <w:rPr>
          <w:rFonts w:asciiTheme="minorHAnsi" w:hAnsiTheme="minorHAnsi" w:cstheme="minorHAnsi"/>
          <w:sz w:val="22"/>
        </w:rPr>
      </w:pPr>
      <w:r w:rsidRPr="00A93EAD">
        <w:rPr>
          <w:rFonts w:asciiTheme="minorHAnsi" w:hAnsiTheme="minorHAnsi" w:cstheme="minorHAnsi"/>
          <w:sz w:val="22"/>
        </w:rPr>
        <w:t xml:space="preserve">a person who was born female decides to spend the rest of his life as a man </w:t>
      </w:r>
    </w:p>
    <w:p w14:paraId="53DCD231" w14:textId="77777777" w:rsidR="00C31E1F" w:rsidRPr="00A93EAD" w:rsidRDefault="00A93EAD">
      <w:pPr>
        <w:spacing w:after="11"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59788441" w14:textId="7777777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In the Equality Act it is known as ‘gender reassignment’. All transsexual people share the common characteristic of gender reassignment. </w:t>
      </w:r>
    </w:p>
    <w:p w14:paraId="7F76A560"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05B34612" w14:textId="7777777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To be protected from gender reassignment discrimination, you </w:t>
      </w:r>
      <w:r w:rsidRPr="00A93EAD">
        <w:rPr>
          <w:rFonts w:asciiTheme="minorHAnsi" w:hAnsiTheme="minorHAnsi" w:cstheme="minorHAnsi"/>
          <w:b/>
          <w:sz w:val="22"/>
          <w:u w:val="single" w:color="000000"/>
        </w:rPr>
        <w:t>do not</w:t>
      </w:r>
      <w:r w:rsidRPr="00A93EAD">
        <w:rPr>
          <w:rFonts w:asciiTheme="minorHAnsi" w:hAnsiTheme="minorHAnsi" w:cstheme="minorHAnsi"/>
          <w:sz w:val="22"/>
        </w:rPr>
        <w:t xml:space="preserve"> need to have undergone any specific treatment or surgery to change from your birth sex to your preferred gender. This is because changing your physiological or other gender attributes is a personal process rather than a medical one. </w:t>
      </w:r>
    </w:p>
    <w:p w14:paraId="4993CD1F"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4630FB06" w14:textId="7777777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You can be at any stage in the transition process – from proposing to reassign your gender, to undergoing a process to reassign your gender, or having completed it.  </w:t>
      </w:r>
    </w:p>
    <w:p w14:paraId="601AEA12"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0392AD07" w14:textId="7777777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You can see further information from the Equality and Human Rights Commission </w:t>
      </w:r>
      <w:hyperlink r:id="rId5">
        <w:r w:rsidRPr="00A93EAD">
          <w:rPr>
            <w:rFonts w:asciiTheme="minorHAnsi" w:hAnsiTheme="minorHAnsi" w:cstheme="minorHAnsi"/>
            <w:color w:val="0000FF"/>
            <w:sz w:val="22"/>
            <w:u w:val="single" w:color="0000FF"/>
          </w:rPr>
          <w:t>here</w:t>
        </w:r>
      </w:hyperlink>
      <w:hyperlink r:id="rId6">
        <w:r w:rsidRPr="00A93EAD">
          <w:rPr>
            <w:rFonts w:asciiTheme="minorHAnsi" w:hAnsiTheme="minorHAnsi" w:cstheme="minorHAnsi"/>
            <w:sz w:val="22"/>
          </w:rPr>
          <w:t>.</w:t>
        </w:r>
      </w:hyperlink>
      <w:r w:rsidRPr="00A93EAD">
        <w:rPr>
          <w:rFonts w:asciiTheme="minorHAnsi" w:hAnsiTheme="minorHAnsi" w:cstheme="minorHAnsi"/>
          <w:sz w:val="22"/>
        </w:rPr>
        <w:t xml:space="preserve"> </w:t>
      </w:r>
    </w:p>
    <w:p w14:paraId="2D049C04"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24E22151" w14:textId="77777777" w:rsidR="00C31E1F" w:rsidRPr="00A93EAD" w:rsidRDefault="00C31E1F">
      <w:pPr>
        <w:spacing w:after="0" w:line="259" w:lineRule="auto"/>
        <w:ind w:left="0" w:firstLine="0"/>
        <w:rPr>
          <w:rFonts w:asciiTheme="minorHAnsi" w:hAnsiTheme="minorHAnsi" w:cstheme="minorHAnsi"/>
          <w:sz w:val="22"/>
        </w:rPr>
      </w:pPr>
    </w:p>
    <w:p w14:paraId="1224EE6E" w14:textId="77777777" w:rsidR="00C31E1F" w:rsidRPr="00A93EAD" w:rsidRDefault="00A93EAD">
      <w:pPr>
        <w:pStyle w:val="Heading1"/>
        <w:ind w:left="-5"/>
        <w:rPr>
          <w:rFonts w:asciiTheme="minorHAnsi" w:hAnsiTheme="minorHAnsi" w:cstheme="minorHAnsi"/>
          <w:sz w:val="22"/>
        </w:rPr>
      </w:pPr>
      <w:r w:rsidRPr="00A93EAD">
        <w:rPr>
          <w:rFonts w:asciiTheme="minorHAnsi" w:hAnsiTheme="minorHAnsi" w:cstheme="minorHAnsi"/>
          <w:sz w:val="22"/>
        </w:rPr>
        <w:t xml:space="preserve">A general note on Policy and equality more generally </w:t>
      </w:r>
    </w:p>
    <w:p w14:paraId="2DDBA8CF"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5EE7E58A" w14:textId="7777777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South Gloucestershire Council has in place a </w:t>
      </w:r>
      <w:hyperlink r:id="rId7">
        <w:r w:rsidRPr="00A93EAD">
          <w:rPr>
            <w:rFonts w:asciiTheme="minorHAnsi" w:hAnsiTheme="minorHAnsi" w:cstheme="minorHAnsi"/>
            <w:color w:val="0000FF"/>
            <w:sz w:val="22"/>
            <w:u w:val="single" w:color="0000FF"/>
          </w:rPr>
          <w:t>Corporate Equality and Diversity Policy</w:t>
        </w:r>
      </w:hyperlink>
      <w:hyperlink r:id="rId8">
        <w:r w:rsidRPr="00A93EAD">
          <w:rPr>
            <w:rFonts w:asciiTheme="minorHAnsi" w:hAnsiTheme="minorHAnsi" w:cstheme="minorHAnsi"/>
            <w:sz w:val="22"/>
          </w:rPr>
          <w:t>.</w:t>
        </w:r>
      </w:hyperlink>
      <w:r w:rsidRPr="00A93EAD">
        <w:rPr>
          <w:rFonts w:asciiTheme="minorHAnsi" w:hAnsiTheme="minorHAnsi" w:cstheme="minorHAnsi"/>
          <w:sz w:val="22"/>
        </w:rPr>
        <w:t xml:space="preserve"> </w:t>
      </w:r>
    </w:p>
    <w:p w14:paraId="015DBEE5"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04710FEB" w14:textId="7777777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All schools should have a comprehensive Equalities Policy in place.  In addition, all public sector organisations, including schools, have additional positive enforceable duties in the area of equality (known as the Public Sector Equality Duty) which require annual reporting of performance in respect of equalities issues.  In practice, you do not have to report in a separate report labelled “equality report”, you can report your performance in any report appropriate. </w:t>
      </w:r>
    </w:p>
    <w:p w14:paraId="007C4ABF"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3B4C2BFB" w14:textId="77777777" w:rsidR="00C31E1F" w:rsidRPr="00A93EAD" w:rsidRDefault="00A93EAD">
      <w:pPr>
        <w:spacing w:after="0" w:line="240" w:lineRule="auto"/>
        <w:ind w:left="0" w:right="6684" w:firstLine="0"/>
        <w:rPr>
          <w:rFonts w:asciiTheme="minorHAnsi" w:hAnsiTheme="minorHAnsi" w:cstheme="minorHAnsi"/>
          <w:sz w:val="22"/>
        </w:rPr>
      </w:pPr>
      <w:r w:rsidRPr="00A93EAD">
        <w:rPr>
          <w:rFonts w:asciiTheme="minorHAnsi" w:hAnsiTheme="minorHAnsi" w:cstheme="minorHAnsi"/>
          <w:sz w:val="22"/>
        </w:rPr>
        <w:t xml:space="preserve"> </w:t>
      </w:r>
      <w:r w:rsidRPr="00A93EAD">
        <w:rPr>
          <w:rFonts w:asciiTheme="minorHAnsi" w:hAnsiTheme="minorHAnsi" w:cstheme="minorHAnsi"/>
          <w:b/>
          <w:sz w:val="22"/>
        </w:rPr>
        <w:t xml:space="preserve"> </w:t>
      </w:r>
      <w:r w:rsidRPr="00A93EAD">
        <w:rPr>
          <w:rFonts w:asciiTheme="minorHAnsi" w:hAnsiTheme="minorHAnsi" w:cstheme="minorHAnsi"/>
          <w:b/>
          <w:sz w:val="22"/>
        </w:rPr>
        <w:tab/>
        <w:t xml:space="preserve"> </w:t>
      </w:r>
    </w:p>
    <w:p w14:paraId="7440054A" w14:textId="77777777" w:rsidR="00C31E1F" w:rsidRPr="00A93EAD" w:rsidRDefault="00A93EAD">
      <w:pPr>
        <w:pStyle w:val="Heading1"/>
        <w:ind w:left="-5"/>
        <w:rPr>
          <w:rFonts w:asciiTheme="minorHAnsi" w:hAnsiTheme="minorHAnsi" w:cstheme="minorHAnsi"/>
          <w:sz w:val="22"/>
        </w:rPr>
      </w:pPr>
      <w:r w:rsidRPr="00A93EAD">
        <w:rPr>
          <w:rFonts w:asciiTheme="minorHAnsi" w:hAnsiTheme="minorHAnsi" w:cstheme="minorHAnsi"/>
          <w:sz w:val="22"/>
        </w:rPr>
        <w:t xml:space="preserve">Specific points to raise </w:t>
      </w:r>
    </w:p>
    <w:p w14:paraId="5717D833"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48CE0128" w14:textId="77777777" w:rsidR="00C31E1F" w:rsidRPr="00A93EAD" w:rsidRDefault="00A93EAD">
      <w:pPr>
        <w:numPr>
          <w:ilvl w:val="0"/>
          <w:numId w:val="1"/>
        </w:numPr>
        <w:ind w:hanging="360"/>
        <w:rPr>
          <w:rFonts w:asciiTheme="minorHAnsi" w:hAnsiTheme="minorHAnsi" w:cstheme="minorHAnsi"/>
          <w:sz w:val="22"/>
        </w:rPr>
      </w:pPr>
      <w:r w:rsidRPr="00A93EAD">
        <w:rPr>
          <w:rFonts w:asciiTheme="minorHAnsi" w:hAnsiTheme="minorHAnsi" w:cstheme="minorHAnsi"/>
          <w:sz w:val="22"/>
        </w:rPr>
        <w:t xml:space="preserve">The Equality Act is very clear that Gender Reassignment is a protected characteristic; </w:t>
      </w:r>
    </w:p>
    <w:p w14:paraId="220F3333" w14:textId="77777777" w:rsidR="00C31E1F" w:rsidRPr="00A93EAD" w:rsidRDefault="00A93EAD">
      <w:pPr>
        <w:numPr>
          <w:ilvl w:val="0"/>
          <w:numId w:val="1"/>
        </w:numPr>
        <w:ind w:hanging="360"/>
        <w:rPr>
          <w:rFonts w:asciiTheme="minorHAnsi" w:hAnsiTheme="minorHAnsi" w:cstheme="minorHAnsi"/>
          <w:sz w:val="22"/>
        </w:rPr>
      </w:pPr>
      <w:r w:rsidRPr="00A93EAD">
        <w:rPr>
          <w:rFonts w:asciiTheme="minorHAnsi" w:hAnsiTheme="minorHAnsi" w:cstheme="minorHAnsi"/>
          <w:sz w:val="22"/>
        </w:rPr>
        <w:t xml:space="preserve">a person must not be discriminated against because they are transsexual (when their gender identity is different from the gender assigned at birth); </w:t>
      </w:r>
    </w:p>
    <w:p w14:paraId="3C2BF2EF" w14:textId="77777777" w:rsidR="00C31E1F" w:rsidRPr="00A93EAD" w:rsidRDefault="00A93EAD">
      <w:pPr>
        <w:numPr>
          <w:ilvl w:val="0"/>
          <w:numId w:val="1"/>
        </w:numPr>
        <w:spacing w:after="0" w:line="240" w:lineRule="auto"/>
        <w:ind w:hanging="360"/>
        <w:rPr>
          <w:rFonts w:asciiTheme="minorHAnsi" w:hAnsiTheme="minorHAnsi" w:cstheme="minorHAnsi"/>
          <w:sz w:val="22"/>
        </w:rPr>
      </w:pPr>
      <w:r w:rsidRPr="00A93EAD">
        <w:rPr>
          <w:rFonts w:asciiTheme="minorHAnsi" w:hAnsiTheme="minorHAnsi" w:cstheme="minorHAnsi"/>
          <w:sz w:val="22"/>
        </w:rPr>
        <w:t xml:space="preserve">a person does not need to have undergone any specific treatment or surgery to change from their birth sex to their preferred gender </w:t>
      </w:r>
      <w:proofErr w:type="gramStart"/>
      <w:r w:rsidRPr="00A93EAD">
        <w:rPr>
          <w:rFonts w:asciiTheme="minorHAnsi" w:hAnsiTheme="minorHAnsi" w:cstheme="minorHAnsi"/>
          <w:sz w:val="22"/>
        </w:rPr>
        <w:t>in order to</w:t>
      </w:r>
      <w:proofErr w:type="gramEnd"/>
      <w:r w:rsidRPr="00A93EAD">
        <w:rPr>
          <w:rFonts w:asciiTheme="minorHAnsi" w:hAnsiTheme="minorHAnsi" w:cstheme="minorHAnsi"/>
          <w:sz w:val="22"/>
        </w:rPr>
        <w:t xml:space="preserve"> be protected by the Equality Act. </w:t>
      </w:r>
    </w:p>
    <w:p w14:paraId="7D1398A2"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73D36893" w14:textId="77777777" w:rsidR="00C31E1F" w:rsidRPr="00A93EAD" w:rsidRDefault="00A93EAD">
      <w:pPr>
        <w:spacing w:after="0" w:line="255" w:lineRule="auto"/>
        <w:ind w:left="0" w:firstLine="0"/>
        <w:rPr>
          <w:rFonts w:asciiTheme="minorHAnsi" w:hAnsiTheme="minorHAnsi" w:cstheme="minorHAnsi"/>
          <w:sz w:val="22"/>
        </w:rPr>
      </w:pPr>
      <w:r w:rsidRPr="00A93EAD">
        <w:rPr>
          <w:rFonts w:asciiTheme="minorHAnsi" w:hAnsiTheme="minorHAnsi" w:cstheme="minorHAnsi"/>
          <w:sz w:val="22"/>
        </w:rPr>
        <w:t xml:space="preserve">As such, as person should be treated in accordance with their preferred gender.  (as an aside point, please note that the Equality and Human Rights Commission provide the following point of </w:t>
      </w:r>
      <w:proofErr w:type="gramStart"/>
      <w:r w:rsidRPr="00A93EAD">
        <w:rPr>
          <w:rFonts w:asciiTheme="minorHAnsi" w:hAnsiTheme="minorHAnsi" w:cstheme="minorHAnsi"/>
          <w:sz w:val="22"/>
        </w:rPr>
        <w:t>clarification:-</w:t>
      </w:r>
      <w:proofErr w:type="gramEnd"/>
      <w:r w:rsidRPr="00A93EAD">
        <w:rPr>
          <w:rFonts w:asciiTheme="minorHAnsi" w:hAnsiTheme="minorHAnsi" w:cstheme="minorHAnsi"/>
          <w:sz w:val="22"/>
        </w:rPr>
        <w:t xml:space="preserve"> </w:t>
      </w:r>
      <w:r w:rsidRPr="00A93EAD">
        <w:rPr>
          <w:rFonts w:asciiTheme="minorHAnsi" w:hAnsiTheme="minorHAnsi" w:cstheme="minorHAnsi"/>
          <w:i/>
          <w:sz w:val="22"/>
        </w:rPr>
        <w:t xml:space="preserve">“you are not protected as transgender unless you propose to change your gender or have done so. For example, a </w:t>
      </w:r>
      <w:r w:rsidRPr="00A93EAD">
        <w:rPr>
          <w:rFonts w:asciiTheme="minorHAnsi" w:hAnsiTheme="minorHAnsi" w:cstheme="minorHAnsi"/>
          <w:i/>
          <w:sz w:val="22"/>
        </w:rPr>
        <w:lastRenderedPageBreak/>
        <w:t>group of men on a stag do who put on fancy dress as women are turned away from a restaurant. They are not transsexual so not protected from discrimination”</w:t>
      </w:r>
      <w:r w:rsidRPr="00A93EAD">
        <w:rPr>
          <w:rFonts w:asciiTheme="minorHAnsi" w:hAnsiTheme="minorHAnsi" w:cstheme="minorHAnsi"/>
          <w:sz w:val="22"/>
        </w:rPr>
        <w:t xml:space="preserve">.) </w:t>
      </w:r>
    </w:p>
    <w:p w14:paraId="105FB4A2"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42A16D9D" w14:textId="7777777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Treating a person in accordance with their preferred gender covers everything the school does, for example, (i.e. using correct pronouns – ‘he’ and ‘she’ when addressing a pupil; allowing changes in school records etc, using the toilets which are appropriate to the person’s preferred gender, attending school trips/activities and so on – in other words – everything a school does). </w:t>
      </w:r>
    </w:p>
    <w:p w14:paraId="45F6F3CE"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2DF40286" w14:textId="77777777" w:rsidR="00C31E1F" w:rsidRPr="00A93EAD" w:rsidRDefault="00A93EAD">
      <w:pPr>
        <w:pStyle w:val="Heading1"/>
        <w:ind w:left="-5"/>
        <w:rPr>
          <w:rFonts w:asciiTheme="minorHAnsi" w:hAnsiTheme="minorHAnsi" w:cstheme="minorHAnsi"/>
          <w:sz w:val="22"/>
        </w:rPr>
      </w:pPr>
      <w:r w:rsidRPr="00A93EAD">
        <w:rPr>
          <w:rFonts w:asciiTheme="minorHAnsi" w:hAnsiTheme="minorHAnsi" w:cstheme="minorHAnsi"/>
          <w:sz w:val="22"/>
        </w:rPr>
        <w:t xml:space="preserve">Safeguarding </w:t>
      </w:r>
    </w:p>
    <w:p w14:paraId="05119C9C"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0FB1BC8E" w14:textId="7777777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Issues surrounding Gender Reassignment should </w:t>
      </w:r>
      <w:r w:rsidRPr="00A93EAD">
        <w:rPr>
          <w:rFonts w:asciiTheme="minorHAnsi" w:hAnsiTheme="minorHAnsi" w:cstheme="minorHAnsi"/>
          <w:b/>
          <w:sz w:val="22"/>
          <w:u w:val="single" w:color="000000"/>
        </w:rPr>
        <w:t>not</w:t>
      </w:r>
      <w:r w:rsidRPr="00A93EAD">
        <w:rPr>
          <w:rFonts w:asciiTheme="minorHAnsi" w:hAnsiTheme="minorHAnsi" w:cstheme="minorHAnsi"/>
          <w:sz w:val="22"/>
        </w:rPr>
        <w:t xml:space="preserve"> be viewed as safeguarding issues.   </w:t>
      </w:r>
    </w:p>
    <w:p w14:paraId="309B49AF"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50669DF5" w14:textId="7777777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Risk assessments can be carried </w:t>
      </w:r>
      <w:proofErr w:type="gramStart"/>
      <w:r w:rsidRPr="00A93EAD">
        <w:rPr>
          <w:rFonts w:asciiTheme="minorHAnsi" w:hAnsiTheme="minorHAnsi" w:cstheme="minorHAnsi"/>
          <w:sz w:val="22"/>
        </w:rPr>
        <w:t>our</w:t>
      </w:r>
      <w:proofErr w:type="gramEnd"/>
      <w:r w:rsidRPr="00A93EAD">
        <w:rPr>
          <w:rFonts w:asciiTheme="minorHAnsi" w:hAnsiTheme="minorHAnsi" w:cstheme="minorHAnsi"/>
          <w:sz w:val="22"/>
        </w:rPr>
        <w:t xml:space="preserve"> prior to residential trips in order to make reasonable adjustments which would </w:t>
      </w:r>
      <w:r w:rsidRPr="00A93EAD">
        <w:rPr>
          <w:rFonts w:asciiTheme="minorHAnsi" w:hAnsiTheme="minorHAnsi" w:cstheme="minorHAnsi"/>
          <w:b/>
          <w:sz w:val="22"/>
          <w:u w:val="single" w:color="000000"/>
        </w:rPr>
        <w:t>enable the participation</w:t>
      </w:r>
      <w:r w:rsidRPr="00A93EAD">
        <w:rPr>
          <w:rFonts w:asciiTheme="minorHAnsi" w:hAnsiTheme="minorHAnsi" w:cstheme="minorHAnsi"/>
          <w:sz w:val="22"/>
        </w:rPr>
        <w:t xml:space="preserve"> of trans pupils or students. </w:t>
      </w:r>
    </w:p>
    <w:p w14:paraId="0BC6A29D"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b/>
          <w:sz w:val="22"/>
        </w:rPr>
        <w:t xml:space="preserve"> </w:t>
      </w:r>
    </w:p>
    <w:p w14:paraId="5E591602"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b/>
          <w:sz w:val="22"/>
        </w:rPr>
        <w:t xml:space="preserve"> </w:t>
      </w:r>
    </w:p>
    <w:p w14:paraId="1AAE34AE" w14:textId="77777777" w:rsidR="00C31E1F" w:rsidRPr="00A93EAD" w:rsidRDefault="00A93EAD">
      <w:pPr>
        <w:pStyle w:val="Heading1"/>
        <w:ind w:left="-5"/>
        <w:rPr>
          <w:rFonts w:asciiTheme="minorHAnsi" w:hAnsiTheme="minorHAnsi" w:cstheme="minorHAnsi"/>
          <w:sz w:val="22"/>
        </w:rPr>
      </w:pPr>
      <w:r w:rsidRPr="00A93EAD">
        <w:rPr>
          <w:rFonts w:asciiTheme="minorHAnsi" w:hAnsiTheme="minorHAnsi" w:cstheme="minorHAnsi"/>
          <w:sz w:val="22"/>
        </w:rPr>
        <w:t xml:space="preserve">Good Practice </w:t>
      </w:r>
    </w:p>
    <w:p w14:paraId="2827A48B"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13E03E38" w14:textId="7777777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Sometimes there can be some issues to think through and these can depend upon the age of the pupils concerned (for example, older students may be more equipped to understand issues arising in respect of their friends and peers than younger students – these are not safeguarding issues, these are issues about good practice and ensuring that we provide supportive, positive and caring environments for our young people). </w:t>
      </w:r>
    </w:p>
    <w:p w14:paraId="1CBF9608"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7CEB6068" w14:textId="1AB7540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The East Sussex County Council </w:t>
      </w:r>
      <w:hyperlink r:id="rId9">
        <w:r w:rsidRPr="00A93EAD">
          <w:rPr>
            <w:rFonts w:asciiTheme="minorHAnsi" w:hAnsiTheme="minorHAnsi" w:cstheme="minorHAnsi"/>
            <w:sz w:val="22"/>
          </w:rPr>
          <w:t xml:space="preserve"> </w:t>
        </w:r>
      </w:hyperlink>
      <w:r w:rsidRPr="00A93EAD">
        <w:rPr>
          <w:rFonts w:asciiTheme="minorHAnsi" w:hAnsiTheme="minorHAnsi" w:cstheme="minorHAnsi"/>
          <w:sz w:val="22"/>
        </w:rPr>
        <w:t>has a wealth of information and guidance</w:t>
      </w:r>
      <w:r w:rsidR="008C088C">
        <w:rPr>
          <w:rFonts w:asciiTheme="minorHAnsi" w:hAnsiTheme="minorHAnsi" w:cstheme="minorHAnsi"/>
          <w:sz w:val="22"/>
        </w:rPr>
        <w:t xml:space="preserve">. </w:t>
      </w:r>
      <w:r w:rsidRPr="00A93EAD">
        <w:rPr>
          <w:rFonts w:asciiTheme="minorHAnsi" w:hAnsiTheme="minorHAnsi" w:cstheme="minorHAnsi"/>
          <w:sz w:val="22"/>
        </w:rPr>
        <w:t xml:space="preserve">Some examples from within the Toolkit include: </w:t>
      </w:r>
    </w:p>
    <w:p w14:paraId="6CDE7C20"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2E4CCBB1" w14:textId="061F56AE" w:rsidR="00C31E1F" w:rsidRPr="00A93EAD" w:rsidRDefault="00A93EAD">
      <w:pPr>
        <w:spacing w:after="4" w:line="249" w:lineRule="auto"/>
        <w:ind w:left="-5" w:right="5"/>
        <w:rPr>
          <w:rFonts w:asciiTheme="minorHAnsi" w:hAnsiTheme="minorHAnsi" w:cstheme="minorHAnsi"/>
          <w:sz w:val="22"/>
        </w:rPr>
      </w:pPr>
      <w:r w:rsidRPr="00A93EAD">
        <w:rPr>
          <w:rFonts w:asciiTheme="minorHAnsi" w:hAnsiTheme="minorHAnsi" w:cstheme="minorHAnsi"/>
          <w:sz w:val="22"/>
        </w:rPr>
        <w:t xml:space="preserve">Confidentiality and Information Sharing – </w:t>
      </w:r>
      <w:r w:rsidRPr="00A93EAD">
        <w:rPr>
          <w:rFonts w:asciiTheme="minorHAnsi" w:hAnsiTheme="minorHAnsi" w:cstheme="minorHAnsi"/>
          <w:i/>
          <w:sz w:val="22"/>
        </w:rPr>
        <w:t>“School staff should not disclose information that may reveal a pupil or student’s transgender status or gender- nonconforming presentation to others, including parents, carers and other members of the school community, unless legally required to do so or because the child or young person has asked them to do so”</w:t>
      </w:r>
      <w:r w:rsidRPr="00A93EAD">
        <w:rPr>
          <w:rFonts w:asciiTheme="minorHAnsi" w:hAnsiTheme="minorHAnsi" w:cstheme="minorHAnsi"/>
          <w:sz w:val="22"/>
        </w:rPr>
        <w:t xml:space="preserve">. </w:t>
      </w:r>
    </w:p>
    <w:p w14:paraId="532F06B6"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4E2163E9" w14:textId="7B4D0548" w:rsidR="00C31E1F" w:rsidRPr="00A93EAD" w:rsidRDefault="00A93EAD">
      <w:pPr>
        <w:spacing w:after="4" w:line="249" w:lineRule="auto"/>
        <w:ind w:left="-5" w:right="5"/>
        <w:rPr>
          <w:rFonts w:asciiTheme="minorHAnsi" w:hAnsiTheme="minorHAnsi" w:cstheme="minorHAnsi"/>
          <w:sz w:val="22"/>
        </w:rPr>
      </w:pPr>
      <w:r w:rsidRPr="00A93EAD">
        <w:rPr>
          <w:rFonts w:asciiTheme="minorHAnsi" w:hAnsiTheme="minorHAnsi" w:cstheme="minorHAnsi"/>
          <w:sz w:val="22"/>
        </w:rPr>
        <w:t>Toilets – “</w:t>
      </w:r>
      <w:r w:rsidRPr="00A93EAD">
        <w:rPr>
          <w:rFonts w:asciiTheme="minorHAnsi" w:hAnsiTheme="minorHAnsi" w:cstheme="minorHAnsi"/>
          <w:i/>
          <w:sz w:val="22"/>
        </w:rPr>
        <w:t>Pupils and students have the right to access the toilet that corresponds to their gender identity”.</w:t>
      </w:r>
      <w:r w:rsidRPr="00A93EAD">
        <w:rPr>
          <w:rFonts w:asciiTheme="minorHAnsi" w:hAnsiTheme="minorHAnsi" w:cstheme="minorHAnsi"/>
          <w:sz w:val="22"/>
        </w:rPr>
        <w:t xml:space="preserve"> </w:t>
      </w:r>
    </w:p>
    <w:p w14:paraId="7202BBC8"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r w:rsidRPr="00A93EAD">
        <w:rPr>
          <w:rFonts w:asciiTheme="minorHAnsi" w:hAnsiTheme="minorHAnsi" w:cstheme="minorHAnsi"/>
          <w:sz w:val="22"/>
        </w:rPr>
        <w:tab/>
        <w:t xml:space="preserve"> </w:t>
      </w:r>
    </w:p>
    <w:p w14:paraId="6DEAD533" w14:textId="54D0A493" w:rsidR="00C31E1F" w:rsidRPr="00A93EAD" w:rsidRDefault="00A93EAD">
      <w:pPr>
        <w:spacing w:after="4" w:line="249" w:lineRule="auto"/>
        <w:ind w:left="-5" w:right="5"/>
        <w:rPr>
          <w:rFonts w:asciiTheme="minorHAnsi" w:hAnsiTheme="minorHAnsi" w:cstheme="minorHAnsi"/>
          <w:sz w:val="22"/>
        </w:rPr>
      </w:pPr>
      <w:r w:rsidRPr="00A93EAD">
        <w:rPr>
          <w:rFonts w:asciiTheme="minorHAnsi" w:hAnsiTheme="minorHAnsi" w:cstheme="minorHAnsi"/>
          <w:sz w:val="22"/>
        </w:rPr>
        <w:t xml:space="preserve">Residential Trips – </w:t>
      </w:r>
      <w:r w:rsidRPr="00A93EAD">
        <w:rPr>
          <w:rFonts w:asciiTheme="minorHAnsi" w:hAnsiTheme="minorHAnsi" w:cstheme="minorHAnsi"/>
          <w:i/>
          <w:sz w:val="22"/>
        </w:rPr>
        <w:t>“a degree of discussion, care and preparation is required to enable trans* pupils and students to participate in residential trips. To exclude trans* pupils and students from residential trips would be contravening the Equality Act.  As far as possible, trans* pupils and students should be able to sleep in dorms appropriate</w:t>
      </w:r>
      <w:r w:rsidRPr="00A93EAD">
        <w:rPr>
          <w:rFonts w:asciiTheme="minorHAnsi" w:hAnsiTheme="minorHAnsi" w:cstheme="minorHAnsi"/>
          <w:sz w:val="22"/>
        </w:rPr>
        <w:t xml:space="preserve"> </w:t>
      </w:r>
      <w:r w:rsidRPr="00A93EAD">
        <w:rPr>
          <w:rFonts w:asciiTheme="minorHAnsi" w:hAnsiTheme="minorHAnsi" w:cstheme="minorHAnsi"/>
          <w:i/>
          <w:sz w:val="22"/>
        </w:rPr>
        <w:t>to their gender identity”</w:t>
      </w:r>
      <w:r w:rsidRPr="00A93EAD">
        <w:rPr>
          <w:rFonts w:asciiTheme="minorHAnsi" w:hAnsiTheme="minorHAnsi" w:cstheme="minorHAnsi"/>
          <w:sz w:val="22"/>
        </w:rPr>
        <w:t xml:space="preserve">. </w:t>
      </w:r>
    </w:p>
    <w:p w14:paraId="6501F4F2" w14:textId="77777777" w:rsidR="00C31E1F" w:rsidRPr="00A93EAD" w:rsidRDefault="00A93EAD">
      <w:pPr>
        <w:spacing w:after="7"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171EC5A7" w14:textId="63467A56" w:rsidR="00C31E1F" w:rsidRPr="00A93EAD" w:rsidRDefault="00A93EAD">
      <w:pPr>
        <w:spacing w:after="4" w:line="249" w:lineRule="auto"/>
        <w:ind w:left="-5" w:right="5"/>
        <w:rPr>
          <w:rFonts w:asciiTheme="minorHAnsi" w:hAnsiTheme="minorHAnsi" w:cstheme="minorHAnsi"/>
          <w:sz w:val="22"/>
        </w:rPr>
      </w:pPr>
      <w:r w:rsidRPr="00A93EAD">
        <w:rPr>
          <w:rFonts w:asciiTheme="minorHAnsi" w:hAnsiTheme="minorHAnsi" w:cstheme="minorHAnsi"/>
          <w:sz w:val="22"/>
        </w:rPr>
        <w:t xml:space="preserve">– </w:t>
      </w:r>
      <w:r w:rsidRPr="00A93EAD">
        <w:rPr>
          <w:rFonts w:asciiTheme="minorHAnsi" w:hAnsiTheme="minorHAnsi" w:cstheme="minorHAnsi"/>
          <w:i/>
          <w:sz w:val="22"/>
        </w:rPr>
        <w:t xml:space="preserve">“My daughter doesn’t want a boy changing next to her, what if he looks at her body? </w:t>
      </w:r>
    </w:p>
    <w:p w14:paraId="12915410" w14:textId="77777777" w:rsidR="00C31E1F" w:rsidRPr="00A93EAD" w:rsidRDefault="00A93EAD">
      <w:pPr>
        <w:spacing w:after="4" w:line="249" w:lineRule="auto"/>
        <w:ind w:left="-5" w:right="5"/>
        <w:rPr>
          <w:rFonts w:asciiTheme="minorHAnsi" w:hAnsiTheme="minorHAnsi" w:cstheme="minorHAnsi"/>
          <w:sz w:val="22"/>
        </w:rPr>
      </w:pPr>
      <w:r w:rsidRPr="00A93EAD">
        <w:rPr>
          <w:rFonts w:asciiTheme="minorHAnsi" w:hAnsiTheme="minorHAnsi" w:cstheme="minorHAnsi"/>
          <w:i/>
          <w:sz w:val="22"/>
        </w:rPr>
        <w:t xml:space="preserve">For example, in this scenario it would not be appropriate to remove the trans* person from the changing rooms if a concern is raised by a parent or carer. In this situation, it would be far more appropriate to look at offering an alternative changing arrangement for the child who feels uncomfortable around the trans* person. A Human Rights response would be to state that although the individual in question may have the body of a boy, they are in every other respect a girl and as such have the right under the Equality Act to change with the girls and to be treated fairly as such. It is the responsibility of members of staff to support both trans* students and cisgendered students to feel comfortable around one another”. </w:t>
      </w:r>
    </w:p>
    <w:p w14:paraId="6C52ACB9"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3AB916EA"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69B0E373"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b/>
          <w:sz w:val="22"/>
        </w:rPr>
        <w:t xml:space="preserve"> </w:t>
      </w:r>
    </w:p>
    <w:p w14:paraId="4212A7D1" w14:textId="77777777" w:rsidR="00C31E1F" w:rsidRPr="00A93EAD" w:rsidRDefault="00A93EAD">
      <w:pPr>
        <w:spacing w:after="0" w:line="259" w:lineRule="auto"/>
        <w:ind w:left="-5"/>
        <w:rPr>
          <w:rFonts w:asciiTheme="minorHAnsi" w:hAnsiTheme="minorHAnsi" w:cstheme="minorHAnsi"/>
          <w:sz w:val="22"/>
        </w:rPr>
      </w:pPr>
      <w:r w:rsidRPr="00A93EAD">
        <w:rPr>
          <w:rFonts w:asciiTheme="minorHAnsi" w:hAnsiTheme="minorHAnsi" w:cstheme="minorHAnsi"/>
          <w:b/>
          <w:sz w:val="22"/>
        </w:rPr>
        <w:lastRenderedPageBreak/>
        <w:t xml:space="preserve">Further Points to know </w:t>
      </w:r>
    </w:p>
    <w:p w14:paraId="60BCCC20"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45EFC13D" w14:textId="77777777" w:rsidR="00C31E1F" w:rsidRPr="00A93EAD" w:rsidRDefault="00A93EAD">
      <w:pPr>
        <w:pStyle w:val="Heading1"/>
        <w:ind w:left="-5"/>
        <w:rPr>
          <w:rFonts w:asciiTheme="minorHAnsi" w:hAnsiTheme="minorHAnsi" w:cstheme="minorHAnsi"/>
          <w:sz w:val="22"/>
        </w:rPr>
      </w:pPr>
      <w:r w:rsidRPr="00A93EAD">
        <w:rPr>
          <w:rFonts w:asciiTheme="minorHAnsi" w:hAnsiTheme="minorHAnsi" w:cstheme="minorHAnsi"/>
          <w:sz w:val="22"/>
        </w:rPr>
        <w:t xml:space="preserve">For Young People and Parents </w:t>
      </w:r>
    </w:p>
    <w:p w14:paraId="19D5244B" w14:textId="7777777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 xml:space="preserve">South Gloucestershire Councils works in partnership with The Diversity Trust </w:t>
      </w:r>
    </w:p>
    <w:p w14:paraId="20DE10A3" w14:textId="77777777" w:rsidR="00C31E1F" w:rsidRPr="00A93EAD" w:rsidRDefault="008C088C">
      <w:pPr>
        <w:ind w:left="-5"/>
        <w:rPr>
          <w:rFonts w:asciiTheme="minorHAnsi" w:hAnsiTheme="minorHAnsi" w:cstheme="minorHAnsi"/>
          <w:sz w:val="22"/>
        </w:rPr>
      </w:pPr>
      <w:hyperlink r:id="rId10">
        <w:r w:rsidR="00A93EAD" w:rsidRPr="00A93EAD">
          <w:rPr>
            <w:rFonts w:asciiTheme="minorHAnsi" w:hAnsiTheme="minorHAnsi" w:cstheme="minorHAnsi"/>
            <w:sz w:val="22"/>
          </w:rPr>
          <w:t>(</w:t>
        </w:r>
      </w:hyperlink>
      <w:hyperlink r:id="rId11">
        <w:r w:rsidR="00A93EAD" w:rsidRPr="00A93EAD">
          <w:rPr>
            <w:rFonts w:asciiTheme="minorHAnsi" w:hAnsiTheme="minorHAnsi" w:cstheme="minorHAnsi"/>
            <w:color w:val="0000FF"/>
            <w:sz w:val="22"/>
            <w:u w:val="single" w:color="0000FF"/>
          </w:rPr>
          <w:t>www.diversitytrust.org.uk</w:t>
        </w:r>
      </w:hyperlink>
      <w:hyperlink r:id="rId12">
        <w:r w:rsidR="00A93EAD" w:rsidRPr="00A93EAD">
          <w:rPr>
            <w:rFonts w:asciiTheme="minorHAnsi" w:hAnsiTheme="minorHAnsi" w:cstheme="minorHAnsi"/>
            <w:sz w:val="22"/>
          </w:rPr>
          <w:t>)</w:t>
        </w:r>
      </w:hyperlink>
      <w:r w:rsidR="00A93EAD" w:rsidRPr="00A93EAD">
        <w:rPr>
          <w:rFonts w:asciiTheme="minorHAnsi" w:hAnsiTheme="minorHAnsi" w:cstheme="minorHAnsi"/>
          <w:sz w:val="22"/>
        </w:rPr>
        <w:t xml:space="preserve">.  The Diversity Trust runs a youth club in Yate on the last </w:t>
      </w:r>
    </w:p>
    <w:p w14:paraId="02310A52" w14:textId="7777777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Sunday of every month.  The youth club is for 13 – 19 year olds, but please email Berkeley Wilde who is the Director of the Diversity Trust directly to discuss availability to younger people (</w:t>
      </w:r>
      <w:r w:rsidRPr="00A93EAD">
        <w:rPr>
          <w:rFonts w:asciiTheme="minorHAnsi" w:hAnsiTheme="minorHAnsi" w:cstheme="minorHAnsi"/>
          <w:color w:val="0000FF"/>
          <w:sz w:val="22"/>
          <w:u w:val="single" w:color="0000FF"/>
        </w:rPr>
        <w:t>berkeley.wilde@diversitytrust.org.uk</w:t>
      </w:r>
      <w:r w:rsidRPr="00A93EAD">
        <w:rPr>
          <w:rFonts w:asciiTheme="minorHAnsi" w:hAnsiTheme="minorHAnsi" w:cstheme="minorHAnsi"/>
          <w:sz w:val="22"/>
        </w:rPr>
        <w:t xml:space="preserve">).  Also, there is a video about the youth club on </w:t>
      </w:r>
      <w:proofErr w:type="spellStart"/>
      <w:r w:rsidRPr="00A93EAD">
        <w:rPr>
          <w:rFonts w:asciiTheme="minorHAnsi" w:hAnsiTheme="minorHAnsi" w:cstheme="minorHAnsi"/>
          <w:sz w:val="22"/>
        </w:rPr>
        <w:t>Youtube</w:t>
      </w:r>
      <w:proofErr w:type="spellEnd"/>
      <w:r w:rsidRPr="00A93EAD">
        <w:rPr>
          <w:rFonts w:asciiTheme="minorHAnsi" w:hAnsiTheme="minorHAnsi" w:cstheme="minorHAnsi"/>
          <w:sz w:val="22"/>
        </w:rPr>
        <w:t xml:space="preserve"> which can be viewed </w:t>
      </w:r>
      <w:hyperlink r:id="rId13">
        <w:r w:rsidRPr="00A93EAD">
          <w:rPr>
            <w:rFonts w:asciiTheme="minorHAnsi" w:hAnsiTheme="minorHAnsi" w:cstheme="minorHAnsi"/>
            <w:color w:val="0000FF"/>
            <w:sz w:val="22"/>
            <w:u w:val="single" w:color="0000FF"/>
          </w:rPr>
          <w:t>here</w:t>
        </w:r>
      </w:hyperlink>
      <w:hyperlink r:id="rId14">
        <w:r w:rsidRPr="00A93EAD">
          <w:rPr>
            <w:rFonts w:asciiTheme="minorHAnsi" w:hAnsiTheme="minorHAnsi" w:cstheme="minorHAnsi"/>
            <w:sz w:val="22"/>
          </w:rPr>
          <w:t>.</w:t>
        </w:r>
      </w:hyperlink>
      <w:r w:rsidRPr="00A93EAD">
        <w:rPr>
          <w:rFonts w:asciiTheme="minorHAnsi" w:hAnsiTheme="minorHAnsi" w:cstheme="minorHAnsi"/>
          <w:sz w:val="22"/>
        </w:rPr>
        <w:t xml:space="preserve"> </w:t>
      </w:r>
    </w:p>
    <w:p w14:paraId="2E659BBF"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0B14AB76" w14:textId="77777777" w:rsidR="00C31E1F" w:rsidRPr="00A93EAD" w:rsidRDefault="00A93EAD">
      <w:pPr>
        <w:pStyle w:val="Heading1"/>
        <w:ind w:left="-5"/>
        <w:rPr>
          <w:rFonts w:asciiTheme="minorHAnsi" w:hAnsiTheme="minorHAnsi" w:cstheme="minorHAnsi"/>
          <w:sz w:val="22"/>
        </w:rPr>
      </w:pPr>
      <w:r w:rsidRPr="00A93EAD">
        <w:rPr>
          <w:rFonts w:asciiTheme="minorHAnsi" w:hAnsiTheme="minorHAnsi" w:cstheme="minorHAnsi"/>
          <w:sz w:val="22"/>
        </w:rPr>
        <w:t xml:space="preserve">For Schools </w:t>
      </w:r>
    </w:p>
    <w:p w14:paraId="33027368" w14:textId="77777777" w:rsidR="00E871D2" w:rsidRDefault="00A93EAD">
      <w:pPr>
        <w:ind w:left="-5" w:right="1984"/>
        <w:rPr>
          <w:rFonts w:asciiTheme="minorHAnsi" w:hAnsiTheme="minorHAnsi" w:cstheme="minorHAnsi"/>
          <w:sz w:val="22"/>
        </w:rPr>
      </w:pPr>
      <w:r w:rsidRPr="00A93EAD">
        <w:rPr>
          <w:rFonts w:asciiTheme="minorHAnsi" w:hAnsiTheme="minorHAnsi" w:cstheme="minorHAnsi"/>
          <w:sz w:val="22"/>
        </w:rPr>
        <w:t xml:space="preserve">Some examples of positive activities which schools may consider are:- </w:t>
      </w:r>
    </w:p>
    <w:p w14:paraId="001236B3" w14:textId="77777777" w:rsidR="00C31E1F" w:rsidRPr="00E871D2" w:rsidRDefault="00A93EAD" w:rsidP="00E871D2">
      <w:pPr>
        <w:pStyle w:val="ListParagraph"/>
        <w:numPr>
          <w:ilvl w:val="0"/>
          <w:numId w:val="4"/>
        </w:numPr>
        <w:ind w:right="1984"/>
        <w:rPr>
          <w:rFonts w:asciiTheme="minorHAnsi" w:hAnsiTheme="minorHAnsi" w:cstheme="minorHAnsi"/>
          <w:sz w:val="22"/>
        </w:rPr>
      </w:pPr>
      <w:r w:rsidRPr="00E871D2">
        <w:rPr>
          <w:rFonts w:asciiTheme="minorHAnsi" w:hAnsiTheme="minorHAnsi" w:cstheme="minorHAnsi"/>
          <w:sz w:val="22"/>
        </w:rPr>
        <w:t xml:space="preserve">Having an anti-bullying week focus on transphobia </w:t>
      </w:r>
    </w:p>
    <w:p w14:paraId="55C9234E" w14:textId="77777777" w:rsidR="00C31E1F" w:rsidRPr="00A93EAD" w:rsidRDefault="00A93EAD">
      <w:pPr>
        <w:numPr>
          <w:ilvl w:val="0"/>
          <w:numId w:val="2"/>
        </w:numPr>
        <w:ind w:hanging="360"/>
        <w:rPr>
          <w:rFonts w:asciiTheme="minorHAnsi" w:hAnsiTheme="minorHAnsi" w:cstheme="minorHAnsi"/>
          <w:sz w:val="22"/>
        </w:rPr>
      </w:pPr>
      <w:r w:rsidRPr="00A93EAD">
        <w:rPr>
          <w:rFonts w:asciiTheme="minorHAnsi" w:hAnsiTheme="minorHAnsi" w:cstheme="minorHAnsi"/>
          <w:sz w:val="22"/>
        </w:rPr>
        <w:t xml:space="preserve">Celebrating LGBT History Month (February) </w:t>
      </w:r>
    </w:p>
    <w:p w14:paraId="205C3C9C" w14:textId="77777777" w:rsidR="00C31E1F" w:rsidRPr="00A93EAD" w:rsidRDefault="00A93EAD">
      <w:pPr>
        <w:numPr>
          <w:ilvl w:val="0"/>
          <w:numId w:val="2"/>
        </w:numPr>
        <w:ind w:hanging="360"/>
        <w:rPr>
          <w:rFonts w:asciiTheme="minorHAnsi" w:hAnsiTheme="minorHAnsi" w:cstheme="minorHAnsi"/>
          <w:sz w:val="22"/>
        </w:rPr>
      </w:pPr>
      <w:r w:rsidRPr="00A93EAD">
        <w:rPr>
          <w:rFonts w:asciiTheme="minorHAnsi" w:hAnsiTheme="minorHAnsi" w:cstheme="minorHAnsi"/>
          <w:sz w:val="22"/>
        </w:rPr>
        <w:t xml:space="preserve">Providing information about PSHE lessons on gender stereotyping, gender identity and trans issues </w:t>
      </w:r>
    </w:p>
    <w:p w14:paraId="0D8DE28C" w14:textId="77777777" w:rsidR="00C31E1F" w:rsidRPr="00A93EAD" w:rsidRDefault="00E871D2">
      <w:pPr>
        <w:numPr>
          <w:ilvl w:val="0"/>
          <w:numId w:val="2"/>
        </w:numPr>
        <w:ind w:hanging="360"/>
        <w:rPr>
          <w:rFonts w:asciiTheme="minorHAnsi" w:hAnsiTheme="minorHAnsi" w:cstheme="minorHAnsi"/>
          <w:sz w:val="22"/>
        </w:rPr>
      </w:pPr>
      <w:r>
        <w:rPr>
          <w:rFonts w:asciiTheme="minorHAnsi" w:hAnsiTheme="minorHAnsi" w:cstheme="minorHAnsi"/>
          <w:sz w:val="22"/>
        </w:rPr>
        <w:t>south Glos</w:t>
      </w:r>
      <w:r w:rsidR="00A93EAD" w:rsidRPr="00A93EAD">
        <w:rPr>
          <w:rFonts w:asciiTheme="minorHAnsi" w:hAnsiTheme="minorHAnsi" w:cstheme="minorHAnsi"/>
          <w:sz w:val="22"/>
        </w:rPr>
        <w:t xml:space="preserve"> </w:t>
      </w:r>
      <w:r>
        <w:rPr>
          <w:rFonts w:asciiTheme="minorHAnsi" w:hAnsiTheme="minorHAnsi" w:cstheme="minorHAnsi"/>
          <w:sz w:val="22"/>
        </w:rPr>
        <w:t>E</w:t>
      </w:r>
      <w:r w:rsidR="00A93EAD" w:rsidRPr="00A93EAD">
        <w:rPr>
          <w:rFonts w:asciiTheme="minorHAnsi" w:hAnsiTheme="minorHAnsi" w:cstheme="minorHAnsi"/>
          <w:sz w:val="22"/>
        </w:rPr>
        <w:t xml:space="preserve">-Module on LGBTQ+ Awareness which will be available to all staff.. </w:t>
      </w:r>
    </w:p>
    <w:p w14:paraId="1738DF57" w14:textId="77777777" w:rsidR="00C31E1F" w:rsidRPr="00A93EAD" w:rsidRDefault="00A93EAD">
      <w:pPr>
        <w:ind w:left="-5"/>
        <w:rPr>
          <w:rFonts w:asciiTheme="minorHAnsi" w:hAnsiTheme="minorHAnsi" w:cstheme="minorHAnsi"/>
          <w:sz w:val="22"/>
        </w:rPr>
      </w:pPr>
      <w:r w:rsidRPr="00A93EAD">
        <w:rPr>
          <w:rFonts w:asciiTheme="minorHAnsi" w:hAnsiTheme="minorHAnsi" w:cstheme="minorHAnsi"/>
          <w:sz w:val="22"/>
        </w:rPr>
        <w:t>The Diversity Trust can help schools with delivering assemblies, delivering class-based sessions etc.  Please contact Berkeley Wilde who is the Director of the Diversity Trust directly to discuss (</w:t>
      </w:r>
      <w:r w:rsidRPr="00A93EAD">
        <w:rPr>
          <w:rFonts w:asciiTheme="minorHAnsi" w:hAnsiTheme="minorHAnsi" w:cstheme="minorHAnsi"/>
          <w:color w:val="0000FF"/>
          <w:sz w:val="22"/>
          <w:u w:val="single" w:color="0000FF"/>
        </w:rPr>
        <w:t>berkeley.wilde@diversitytrust.org.uk</w:t>
      </w:r>
      <w:r w:rsidRPr="00A93EAD">
        <w:rPr>
          <w:rFonts w:asciiTheme="minorHAnsi" w:hAnsiTheme="minorHAnsi" w:cstheme="minorHAnsi"/>
          <w:sz w:val="22"/>
        </w:rPr>
        <w:t xml:space="preserve">).   </w:t>
      </w:r>
    </w:p>
    <w:p w14:paraId="7BDCD535"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61EC52D4"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p w14:paraId="42328388" w14:textId="77777777" w:rsidR="00C31E1F" w:rsidRPr="00A93EAD" w:rsidRDefault="00A93EAD">
      <w:pPr>
        <w:spacing w:after="0" w:line="259" w:lineRule="auto"/>
        <w:ind w:left="0" w:firstLine="0"/>
        <w:rPr>
          <w:rFonts w:asciiTheme="minorHAnsi" w:hAnsiTheme="minorHAnsi" w:cstheme="minorHAnsi"/>
          <w:sz w:val="22"/>
        </w:rPr>
      </w:pPr>
      <w:r w:rsidRPr="00A93EAD">
        <w:rPr>
          <w:rFonts w:asciiTheme="minorHAnsi" w:hAnsiTheme="minorHAnsi" w:cstheme="minorHAnsi"/>
          <w:sz w:val="22"/>
        </w:rPr>
        <w:t xml:space="preserve"> </w:t>
      </w:r>
    </w:p>
    <w:sectPr w:rsidR="00C31E1F" w:rsidRPr="00A93EAD">
      <w:pgSz w:w="11906" w:h="16838"/>
      <w:pgMar w:top="1139" w:right="1142" w:bottom="140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F819DB"/>
    <w:multiLevelType w:val="hybridMultilevel"/>
    <w:tmpl w:val="53845D50"/>
    <w:lvl w:ilvl="0" w:tplc="1E1A4AF8">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5C3DF8">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B12240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458994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9AE2C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034BF8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C8CA22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26E30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B32B2B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0FE4A33"/>
    <w:multiLevelType w:val="hybridMultilevel"/>
    <w:tmpl w:val="90F822A2"/>
    <w:lvl w:ilvl="0" w:tplc="23AE273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661EC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80050B6">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49C454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14E815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C2CC5C6">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442C2A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1C2F0E">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09097D4">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47A5885"/>
    <w:multiLevelType w:val="hybridMultilevel"/>
    <w:tmpl w:val="1BC2205A"/>
    <w:lvl w:ilvl="0" w:tplc="08090001">
      <w:start w:val="1"/>
      <w:numFmt w:val="bullet"/>
      <w:lvlText w:val=""/>
      <w:lvlJc w:val="left"/>
      <w:pPr>
        <w:ind w:left="345" w:hanging="360"/>
      </w:pPr>
      <w:rPr>
        <w:rFonts w:ascii="Symbol" w:hAnsi="Symbol" w:hint="default"/>
      </w:rPr>
    </w:lvl>
    <w:lvl w:ilvl="1" w:tplc="08090003" w:tentative="1">
      <w:start w:val="1"/>
      <w:numFmt w:val="bullet"/>
      <w:lvlText w:val="o"/>
      <w:lvlJc w:val="left"/>
      <w:pPr>
        <w:ind w:left="1065" w:hanging="360"/>
      </w:pPr>
      <w:rPr>
        <w:rFonts w:ascii="Courier New" w:hAnsi="Courier New" w:cs="Courier New" w:hint="default"/>
      </w:rPr>
    </w:lvl>
    <w:lvl w:ilvl="2" w:tplc="08090005" w:tentative="1">
      <w:start w:val="1"/>
      <w:numFmt w:val="bullet"/>
      <w:lvlText w:val=""/>
      <w:lvlJc w:val="left"/>
      <w:pPr>
        <w:ind w:left="1785" w:hanging="360"/>
      </w:pPr>
      <w:rPr>
        <w:rFonts w:ascii="Wingdings" w:hAnsi="Wingdings" w:hint="default"/>
      </w:rPr>
    </w:lvl>
    <w:lvl w:ilvl="3" w:tplc="08090001" w:tentative="1">
      <w:start w:val="1"/>
      <w:numFmt w:val="bullet"/>
      <w:lvlText w:val=""/>
      <w:lvlJc w:val="left"/>
      <w:pPr>
        <w:ind w:left="2505" w:hanging="360"/>
      </w:pPr>
      <w:rPr>
        <w:rFonts w:ascii="Symbol" w:hAnsi="Symbol" w:hint="default"/>
      </w:rPr>
    </w:lvl>
    <w:lvl w:ilvl="4" w:tplc="08090003" w:tentative="1">
      <w:start w:val="1"/>
      <w:numFmt w:val="bullet"/>
      <w:lvlText w:val="o"/>
      <w:lvlJc w:val="left"/>
      <w:pPr>
        <w:ind w:left="3225" w:hanging="360"/>
      </w:pPr>
      <w:rPr>
        <w:rFonts w:ascii="Courier New" w:hAnsi="Courier New" w:cs="Courier New" w:hint="default"/>
      </w:rPr>
    </w:lvl>
    <w:lvl w:ilvl="5" w:tplc="08090005" w:tentative="1">
      <w:start w:val="1"/>
      <w:numFmt w:val="bullet"/>
      <w:lvlText w:val=""/>
      <w:lvlJc w:val="left"/>
      <w:pPr>
        <w:ind w:left="3945" w:hanging="360"/>
      </w:pPr>
      <w:rPr>
        <w:rFonts w:ascii="Wingdings" w:hAnsi="Wingdings" w:hint="default"/>
      </w:rPr>
    </w:lvl>
    <w:lvl w:ilvl="6" w:tplc="08090001" w:tentative="1">
      <w:start w:val="1"/>
      <w:numFmt w:val="bullet"/>
      <w:lvlText w:val=""/>
      <w:lvlJc w:val="left"/>
      <w:pPr>
        <w:ind w:left="4665" w:hanging="360"/>
      </w:pPr>
      <w:rPr>
        <w:rFonts w:ascii="Symbol" w:hAnsi="Symbol" w:hint="default"/>
      </w:rPr>
    </w:lvl>
    <w:lvl w:ilvl="7" w:tplc="08090003" w:tentative="1">
      <w:start w:val="1"/>
      <w:numFmt w:val="bullet"/>
      <w:lvlText w:val="o"/>
      <w:lvlJc w:val="left"/>
      <w:pPr>
        <w:ind w:left="5385" w:hanging="360"/>
      </w:pPr>
      <w:rPr>
        <w:rFonts w:ascii="Courier New" w:hAnsi="Courier New" w:cs="Courier New" w:hint="default"/>
      </w:rPr>
    </w:lvl>
    <w:lvl w:ilvl="8" w:tplc="08090005" w:tentative="1">
      <w:start w:val="1"/>
      <w:numFmt w:val="bullet"/>
      <w:lvlText w:val=""/>
      <w:lvlJc w:val="left"/>
      <w:pPr>
        <w:ind w:left="6105" w:hanging="360"/>
      </w:pPr>
      <w:rPr>
        <w:rFonts w:ascii="Wingdings" w:hAnsi="Wingdings" w:hint="default"/>
      </w:rPr>
    </w:lvl>
  </w:abstractNum>
  <w:abstractNum w:abstractNumId="3" w15:restartNumberingAfterBreak="0">
    <w:nsid w:val="75994361"/>
    <w:multiLevelType w:val="hybridMultilevel"/>
    <w:tmpl w:val="316E942C"/>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num w:numId="1" w16cid:durableId="1180311775">
    <w:abstractNumId w:val="0"/>
  </w:num>
  <w:num w:numId="2" w16cid:durableId="661784187">
    <w:abstractNumId w:val="1"/>
  </w:num>
  <w:num w:numId="3" w16cid:durableId="1017851850">
    <w:abstractNumId w:val="3"/>
  </w:num>
  <w:num w:numId="4" w16cid:durableId="4441529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1E1F"/>
    <w:rsid w:val="00632E7B"/>
    <w:rsid w:val="008C088C"/>
    <w:rsid w:val="00A93EAD"/>
    <w:rsid w:val="00C31E1F"/>
    <w:rsid w:val="00E871D2"/>
    <w:rsid w:val="00FC7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2D0E6"/>
  <w15:docId w15:val="{E825D499-4CC0-4304-8D35-7C8A1659E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13"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paragraph" w:styleId="ListParagraph">
    <w:name w:val="List Paragraph"/>
    <w:basedOn w:val="Normal"/>
    <w:uiPriority w:val="34"/>
    <w:qFormat/>
    <w:rsid w:val="00A93E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southglos.gov.uk/jobs-and-careers/equal-opportunities-information/corporate-equality-and-diversity-policy/" TargetMode="External"/><Relationship Id="rId13" Type="http://schemas.openxmlformats.org/officeDocument/2006/relationships/hyperlink" Target="https://www.youtube.com/watch?v=s6aQR_k9QbU" TargetMode="External"/><Relationship Id="rId3" Type="http://schemas.openxmlformats.org/officeDocument/2006/relationships/settings" Target="settings.xml"/><Relationship Id="rId7" Type="http://schemas.openxmlformats.org/officeDocument/2006/relationships/hyperlink" Target="http://www.southglos.gov.uk/jobs-and-careers/equal-opportunities-information/corporate-equality-and-diversity-policy/" TargetMode="External"/><Relationship Id="rId12" Type="http://schemas.openxmlformats.org/officeDocument/2006/relationships/hyperlink" Target="http://www.diversitytrust.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equalityhumanrights.com/en/advice-and-guidance/gender-reassignment-discrimination" TargetMode="External"/><Relationship Id="rId11" Type="http://schemas.openxmlformats.org/officeDocument/2006/relationships/hyperlink" Target="http://www.diversitytrust.org.uk/" TargetMode="External"/><Relationship Id="rId5" Type="http://schemas.openxmlformats.org/officeDocument/2006/relationships/hyperlink" Target="https://www.equalityhumanrights.com/en/advice-and-guidance/gender-reassignment-discrimination" TargetMode="External"/><Relationship Id="rId15" Type="http://schemas.openxmlformats.org/officeDocument/2006/relationships/fontTable" Target="fontTable.xml"/><Relationship Id="rId10" Type="http://schemas.openxmlformats.org/officeDocument/2006/relationships/hyperlink" Target="http://www.diversitytrust.org.uk/" TargetMode="External"/><Relationship Id="rId4" Type="http://schemas.openxmlformats.org/officeDocument/2006/relationships/webSettings" Target="webSettings.xml"/><Relationship Id="rId9" Type="http://schemas.openxmlformats.org/officeDocument/2006/relationships/hyperlink" Target="https://www.mermaidsuk.org.uk/assets/media/East%20Sussex%20schools%20transgender%20toolkit.pdf" TargetMode="External"/><Relationship Id="rId14" Type="http://schemas.openxmlformats.org/officeDocument/2006/relationships/hyperlink" Target="https://www.youtube.com/watch?v=s6aQR_k9Qb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1144</Words>
  <Characters>6522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7651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Wood</dc:creator>
  <cp:keywords/>
  <cp:lastModifiedBy>Jo Williams</cp:lastModifiedBy>
  <cp:revision>2</cp:revision>
  <dcterms:created xsi:type="dcterms:W3CDTF">2024-09-17T15:20:00Z</dcterms:created>
  <dcterms:modified xsi:type="dcterms:W3CDTF">2024-09-17T15:20:00Z</dcterms:modified>
</cp:coreProperties>
</file>