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55CE" w14:textId="77777777" w:rsidR="00406CB3" w:rsidRDefault="00406CB3" w:rsidP="00406CB3">
      <w:pPr>
        <w:pStyle w:val="Default"/>
        <w:rPr>
          <w:sz w:val="22"/>
          <w:szCs w:val="22"/>
        </w:rPr>
      </w:pPr>
    </w:p>
    <w:p w14:paraId="54ADA510" w14:textId="77777777" w:rsidR="00406CB3" w:rsidRPr="00907D84" w:rsidRDefault="00406CB3" w:rsidP="00406CB3">
      <w:pPr>
        <w:rPr>
          <w:rFonts w:asciiTheme="minorHAnsi" w:hAnsiTheme="minorHAnsi" w:cstheme="minorHAnsi"/>
          <w:b/>
          <w:color w:val="808080" w:themeColor="background1" w:themeShade="80"/>
        </w:rPr>
      </w:pPr>
      <w:r w:rsidRPr="00907D84">
        <w:rPr>
          <w:rFonts w:asciiTheme="minorHAnsi" w:hAnsiTheme="minorHAnsi" w:cstheme="minorHAnsi"/>
          <w:b/>
          <w:color w:val="808080" w:themeColor="background1" w:themeShade="80"/>
        </w:rPr>
        <w:t>Barley Close Community Primary School</w:t>
      </w:r>
    </w:p>
    <w:p w14:paraId="24A23FDD" w14:textId="77777777" w:rsidR="00406CB3" w:rsidRPr="00907D84" w:rsidRDefault="00907D84" w:rsidP="00406CB3">
      <w:pPr>
        <w:rPr>
          <w:rFonts w:asciiTheme="minorHAnsi" w:hAnsiTheme="minorHAnsi" w:cstheme="minorHAnsi"/>
          <w:b/>
          <w:color w:val="808080" w:themeColor="background1" w:themeShade="80"/>
        </w:rPr>
      </w:pPr>
      <w:r w:rsidRPr="00907D84">
        <w:rPr>
          <w:rFonts w:asciiTheme="minorHAnsi" w:hAnsiTheme="minorHAnsi" w:cstheme="minorHAnsi"/>
          <w:b/>
          <w:color w:val="808080" w:themeColor="background1" w:themeShade="80"/>
        </w:rPr>
        <w:t>Equalities policy</w:t>
      </w:r>
    </w:p>
    <w:p w14:paraId="7F78CE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1. Introduction</w:t>
      </w:r>
    </w:p>
    <w:p w14:paraId="588702C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1.1 Our Policy provides details of our overall aims and the underlying principles which guide our approach to Community Cohesion, Equality and Diversity. It also sets out roles and responsibilities for the Policy and its implementation, as well as describing our legal duties and responsibilities.</w:t>
      </w:r>
    </w:p>
    <w:p w14:paraId="4E83400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1.2 In addition to this Policy document, we have also produced a Single Community Cohesion and Equality Scheme and Plan (attached) which details the actions we are taking to work towards the successful achievement and implementation of our aims and principles. This Policy should, therefore, be read in conjunction with our Single Community Cohesion and Equality Scheme and Plan. We consult widely with regard to Community Cohesion, Equality and Diversity, monitor our progress and continually review the actions we take, and we proactively revise our approaches where required.</w:t>
      </w:r>
    </w:p>
    <w:p w14:paraId="1C3BFFF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do this so that we can be sure that we are consistently progressing towards the achievement of our aims and principles.</w:t>
      </w:r>
    </w:p>
    <w:p w14:paraId="44D6B19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 We welcome our legal duties and responsibilities with regard to Community Cohesion, Equality and Diversity. An overview of key legislation is shown in Appendix 1, and in particular we have a positive commitment to address our duties under:</w:t>
      </w:r>
    </w:p>
    <w:p w14:paraId="7B68D7E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1.3.1 the Race Relations Act 1976 as amended by the Race Relations Amendment Regulations 2003 and the Race Relations Amendment Act 2000;</w:t>
      </w:r>
    </w:p>
    <w:p w14:paraId="002FD38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1.3.2 the Disability Discrimination Acts 1995 and 2005;</w:t>
      </w:r>
    </w:p>
    <w:p w14:paraId="45D17E7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1.3.3 the Sex Discrimination Act 1975 as amended by the Equality Act 2006;</w:t>
      </w:r>
    </w:p>
    <w:p w14:paraId="10EE429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1.3.4 the Education and Inspections Act 2006 to promote community cohesion.</w:t>
      </w:r>
    </w:p>
    <w:p w14:paraId="1F7DD0D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recognise that these four sets of duties are essential for achieving:</w:t>
      </w:r>
    </w:p>
    <w:p w14:paraId="38C2434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1.3.5 the five outcomes of the Every Child Matters framework;, and that they reflect international human rights standards as expressed in the UN Convention on the Rights of the Child, the UN Convention on the Rights of People with Disabilities</w:t>
      </w:r>
    </w:p>
    <w:p w14:paraId="0F9B5C2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1.3.6 the Human Rights Act 1998.</w:t>
      </w:r>
    </w:p>
    <w:p w14:paraId="562AEC7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1.4 This Policy does not exist purely as a response to legal requirements. </w:t>
      </w:r>
      <w:r w:rsidR="00907D84">
        <w:rPr>
          <w:rFonts w:asciiTheme="minorHAnsi" w:hAnsiTheme="minorHAnsi" w:cstheme="minorHAnsi"/>
          <w:color w:val="000000"/>
          <w:sz w:val="20"/>
          <w:szCs w:val="20"/>
        </w:rPr>
        <w:t>Barley Close</w:t>
      </w:r>
      <w:r w:rsidRPr="00907D84">
        <w:rPr>
          <w:rFonts w:asciiTheme="minorHAnsi" w:hAnsiTheme="minorHAnsi" w:cstheme="minorHAnsi"/>
          <w:color w:val="000000"/>
          <w:sz w:val="20"/>
          <w:szCs w:val="20"/>
        </w:rPr>
        <w:t xml:space="preserve"> School sees Community Cohesion, Equality and Diversity as fundamental considerations underpinning everything that goes on in the school. Therefore, this Policy applies to all members of the school community: pupils; staff; governors; parents; and community members</w:t>
      </w:r>
    </w:p>
    <w:p w14:paraId="47BEF9E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2. Aims</w:t>
      </w:r>
    </w:p>
    <w:p w14:paraId="04852CB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2.1 Our aim is to provide education for all, acknowledging that the society within which we live is enriched by diversity.</w:t>
      </w:r>
    </w:p>
    <w:p w14:paraId="04114B9D" w14:textId="1D430A60"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2.2 We will strive to ensure that the culture and ethos of the school reflects and celebrates the diversity of ALL members of the school and wider community. These are reflected in our core school values of ‘</w:t>
      </w:r>
      <w:r w:rsidR="00DE5D61">
        <w:rPr>
          <w:rFonts w:asciiTheme="minorHAnsi" w:hAnsiTheme="minorHAnsi" w:cstheme="minorHAnsi"/>
          <w:color w:val="000000"/>
          <w:sz w:val="20"/>
          <w:szCs w:val="20"/>
        </w:rPr>
        <w:t>Kindness, Curiosity and Resilience’</w:t>
      </w:r>
    </w:p>
    <w:p w14:paraId="268E856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2.3 We will also seek to ensure that everyone is equally valued and treats one another with respect and fairness. Pupils and other members of the school community will be provided with the opportunity to experience, understand and celebrate diversity.</w:t>
      </w:r>
    </w:p>
    <w:p w14:paraId="44A173B3"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 Our core values reflect those of the Local Authority which have been consulted upon widely across the region. They are to:</w:t>
      </w:r>
    </w:p>
    <w:p w14:paraId="00E0705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2.4.1 encourage mutual respect for all;</w:t>
      </w:r>
    </w:p>
    <w:p w14:paraId="3D42C36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2.4.2 recognise and work with every diverse group;</w:t>
      </w:r>
    </w:p>
    <w:p w14:paraId="454EFB5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2.4.3 provide </w:t>
      </w:r>
      <w:proofErr w:type="gramStart"/>
      <w:r w:rsidRPr="00907D84">
        <w:rPr>
          <w:rFonts w:asciiTheme="minorHAnsi" w:hAnsiTheme="minorHAnsi" w:cstheme="minorHAnsi"/>
          <w:color w:val="000000"/>
          <w:sz w:val="20"/>
          <w:szCs w:val="20"/>
        </w:rPr>
        <w:t>high quality</w:t>
      </w:r>
      <w:proofErr w:type="gramEnd"/>
      <w:r w:rsidRPr="00907D84">
        <w:rPr>
          <w:rFonts w:asciiTheme="minorHAnsi" w:hAnsiTheme="minorHAnsi" w:cstheme="minorHAnsi"/>
          <w:color w:val="000000"/>
          <w:sz w:val="20"/>
          <w:szCs w:val="20"/>
        </w:rPr>
        <w:t xml:space="preserve"> inclusive services and facilities;</w:t>
      </w:r>
    </w:p>
    <w:p w14:paraId="020C40E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2.4.4 make sure our employment policies and practices are fair;</w:t>
      </w:r>
    </w:p>
    <w:p w14:paraId="2B217AD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2.4.5 challenge harassment and discrimination.</w:t>
      </w:r>
    </w:p>
    <w:p w14:paraId="3E714233"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2.5 We will proactively seek to review and restructure the cultures, policies and practices in school, so they can be welcoming and responsive to the full diversity of people locally, nationally, and globally.</w:t>
      </w:r>
    </w:p>
    <w:p w14:paraId="1A0577B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3. Principles</w:t>
      </w:r>
    </w:p>
    <w:p w14:paraId="5ECDA0F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 In working towards the realisation of our aims, we will be guided by the following principles:</w:t>
      </w:r>
    </w:p>
    <w:p w14:paraId="11A5BBA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3.1.1 All learners are valued equally. We see all learners and potential learners as of equal value regardless of impairment, ethnicity, colour, creed, nationality, national origin, culture, religious affiliation, national origin, status or their gender.</w:t>
      </w:r>
    </w:p>
    <w:p w14:paraId="1E1D339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3.1.2 Welcoming and celebrating diversity. Treating people equally does not necessarily means treating them all the same. Our policies, procedures and activities must not discriminate, but are differentiated, as appropriate, to take account of differences of life-experience, outlook and background, and in the kinds of barriers and disadvantage which people may face, in relation to impairment, medical needs, ethnicity, colour, creed, nationality, national origin, culture, religious affiliation, national origin, status or their gender.</w:t>
      </w:r>
    </w:p>
    <w:p w14:paraId="6151D31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3.1.3 Fostering positive attitudes and relationships, and a shared sense of cohesion and belonging. We intend that our policies, procedures and activities should promote positive attitudes, an absence of harassment, positive interaction, good relations and dialogue between groups and communities different from each other, global citizenship, an absence of prejudice-related bullying and harassment and mutual respect.</w:t>
      </w:r>
    </w:p>
    <w:p w14:paraId="1B1D11D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3.1.4 The school as an employer. Policies and procedures should benefit all employees and potential employees, for example in recruitment, promotion, and in continuing professional development.</w:t>
      </w:r>
    </w:p>
    <w:p w14:paraId="4543680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3.1.5 Proactively reviewing what we do in order to reduce and remove inequalities and barriers. In addition to avoiding or minimising possible negative impacts, we will take opportunities to maximise positive impacts by reducing and removing inequalities and barriers that may already exist.</w:t>
      </w:r>
    </w:p>
    <w:p w14:paraId="45FAFAC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3.1.6 Creating Opportunity. We recognise the needs of every individual along with our commitment to enabling them to achieve their full potential. In doing this we recognise the need to challenge dependency, and actively promote independence and emotional resilience in our students, and raise aspirations for all</w:t>
      </w:r>
    </w:p>
    <w:p w14:paraId="4874B35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3.1.7 Consulting widely. People affected by a policy or activity should be consulted and involved in the design of new policies, and in the review of existing ones.</w:t>
      </w:r>
    </w:p>
    <w:p w14:paraId="4011BA4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3.1.8 Society as a whole should benefit. We intend that our policies and activities should benefit society as a whole, both locally and nationally, by fostering greater social cohesion, and greater participation in public life.</w:t>
      </w:r>
    </w:p>
    <w:p w14:paraId="0324C25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3.1.9 Safeguarding. Everyone in school has responsibility for the welfare of pupils. We proactively ensure that arrangements are in place to safeguard and promote the welfare of children. This includes protecting children from any forms of bullying, harassment or any other maltreatment based on equality issues.</w:t>
      </w:r>
    </w:p>
    <w:p w14:paraId="344037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4. Objectives and Actions</w:t>
      </w:r>
    </w:p>
    <w:p w14:paraId="1E8DF2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Our key delivery mechanism for this Policy is our Single Community Cohesion and Equality Scheme and Plan which is continually monitored and reviewed, and our progress is reported publicly on an annual basis.</w:t>
      </w:r>
    </w:p>
    <w:p w14:paraId="4695645D"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4.1 We will keep each curriculum area and all aspects of learning under review in order to ensure that teaching and learning reflect our principles as previously stated.</w:t>
      </w:r>
    </w:p>
    <w:p w14:paraId="6C382F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4.2 We use quantitative and qualitative data relating to the implementation of both this policy and our Single Community Cohesion and Equality Scheme and Plan, and take action as appropriate. In particular we collect, analyse and use data in relation to achievement, broken down as appropriate according to impairment and special educational needs, ethnicity and gender.</w:t>
      </w:r>
    </w:p>
    <w:p w14:paraId="427BB64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4.3 Prejudice-related incidents will be identified as such when anyone involved with the incident feels that it is motivated by prejudice. All such incidents are referred to the</w:t>
      </w:r>
    </w:p>
    <w:p w14:paraId="1F0C8DD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Head teacher, whose role it is to assess, record, and deal with all incidents. We take seriously our obligation to report regularly to the local authority about the numbers, types and seriousness of prejudice-related incidents at our school and how they were dealt with.</w:t>
      </w:r>
    </w:p>
    <w:p w14:paraId="3FAA7F5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We respect the diversity of all staff, pupils and parents, and comply with reasonable requests relating to a full range of equalities issues.</w:t>
      </w:r>
    </w:p>
    <w:p w14:paraId="0AE33D3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4.4 We ensure that the content of this policy are known to all staff and governors and, as appropriate, to all pupils and parents. All staff and governors have access to a selection of resources, including our Single Community Cohesion and Equality Scheme and Plan, which discuss and explain concepts of equality, diversity, and community cohesion in appropriate detail.</w:t>
      </w:r>
    </w:p>
    <w:p w14:paraId="4AAF307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4.5 We ensure that all staff, including support and administrative staff, receive appropriate training and opportunities for professional development, both as individuals and as groups or teams.</w:t>
      </w:r>
    </w:p>
    <w:p w14:paraId="3DE2C01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4.6 We ensure that the core principles listed above apply also to the full range of our policies and practices in school.</w:t>
      </w:r>
    </w:p>
    <w:p w14:paraId="3EEEEB3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5. Roles and responsibilities</w:t>
      </w:r>
    </w:p>
    <w:p w14:paraId="6EC1BEA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5.1 The governing body is responsible for ensuring that the school complies with legislation, and that this policy and its related procedures and strategies are implemented.</w:t>
      </w:r>
    </w:p>
    <w:p w14:paraId="19BBA5D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5.2 The Chair of Governors maintains a watching brief regarding the implementation of this policy and will undertake appropriate training in order to lead the Governing Body in fulfilling its role.</w:t>
      </w:r>
    </w:p>
    <w:p w14:paraId="4ED62A8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5.3 The Head teacher is responsible for implementing the policy; for ensuring that all staff are aware of their responsibilities and are given appropriate training and support; and for taking appropriate action in any cases of unlawful discrimination.</w:t>
      </w:r>
    </w:p>
    <w:p w14:paraId="09298B4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 All staff are expected to:</w:t>
      </w:r>
    </w:p>
    <w:p w14:paraId="19D1ED2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5.4.1 promote an inclusive and collaborative ethos in their classroom and school</w:t>
      </w:r>
    </w:p>
    <w:p w14:paraId="2583C56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5.4.2 deal appropriately with any prejudice-related incidents that may occur</w:t>
      </w:r>
    </w:p>
    <w:p w14:paraId="4B38471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5.4.3 identify and challenge bias and stereotyping in the curriculum</w:t>
      </w:r>
    </w:p>
    <w:p w14:paraId="490C65A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5.4.4 support the diversity of pupils in their class, based on individual needs</w:t>
      </w:r>
    </w:p>
    <w:p w14:paraId="7BA4436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5.4.5 keep </w:t>
      </w:r>
      <w:proofErr w:type="gramStart"/>
      <w:r w:rsidRPr="00907D84">
        <w:rPr>
          <w:rFonts w:asciiTheme="minorHAnsi" w:hAnsiTheme="minorHAnsi" w:cstheme="minorHAnsi"/>
          <w:color w:val="000000"/>
          <w:sz w:val="20"/>
          <w:szCs w:val="20"/>
        </w:rPr>
        <w:t>up-to-date</w:t>
      </w:r>
      <w:proofErr w:type="gramEnd"/>
      <w:r w:rsidRPr="00907D84">
        <w:rPr>
          <w:rFonts w:asciiTheme="minorHAnsi" w:hAnsiTheme="minorHAnsi" w:cstheme="minorHAnsi"/>
          <w:color w:val="000000"/>
          <w:sz w:val="20"/>
          <w:szCs w:val="20"/>
        </w:rPr>
        <w:t xml:space="preserve"> with equalities legislation relevant to their work.</w:t>
      </w:r>
    </w:p>
    <w:p w14:paraId="67BBC0A7"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6. Monitoring and evaluation</w:t>
      </w:r>
    </w:p>
    <w:p w14:paraId="28DAC3E0"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6.1 The Head teacher will report to Governors </w:t>
      </w:r>
      <w:r w:rsidR="00907D84">
        <w:rPr>
          <w:rFonts w:asciiTheme="minorHAnsi" w:hAnsiTheme="minorHAnsi" w:cstheme="minorHAnsi"/>
          <w:color w:val="000000"/>
          <w:sz w:val="20"/>
          <w:szCs w:val="20"/>
        </w:rPr>
        <w:t>annually</w:t>
      </w:r>
      <w:r w:rsidRPr="00907D84">
        <w:rPr>
          <w:rFonts w:asciiTheme="minorHAnsi" w:hAnsiTheme="minorHAnsi" w:cstheme="minorHAnsi"/>
          <w:color w:val="000000"/>
          <w:sz w:val="20"/>
          <w:szCs w:val="20"/>
        </w:rPr>
        <w:t xml:space="preserve"> reviewing progress on this Policy and the Single Community Cohesion and Equality Scheme and Plan and regarding any incidents involving discrimination or harassment.</w:t>
      </w:r>
    </w:p>
    <w:p w14:paraId="6B992FDB" w14:textId="77777777" w:rsidR="00907D84" w:rsidRDefault="00907D84" w:rsidP="00EE1D3B">
      <w:pPr>
        <w:pStyle w:val="NormalWeb"/>
        <w:rPr>
          <w:rFonts w:asciiTheme="minorHAnsi" w:hAnsiTheme="minorHAnsi" w:cstheme="minorHAnsi"/>
          <w:b/>
          <w:color w:val="000000"/>
          <w:sz w:val="20"/>
          <w:szCs w:val="20"/>
        </w:rPr>
      </w:pPr>
    </w:p>
    <w:p w14:paraId="6ECDC956" w14:textId="77777777" w:rsidR="00907D84" w:rsidRDefault="00907D84" w:rsidP="00EE1D3B">
      <w:pPr>
        <w:pStyle w:val="NormalWeb"/>
        <w:rPr>
          <w:rFonts w:asciiTheme="minorHAnsi" w:hAnsiTheme="minorHAnsi" w:cstheme="minorHAnsi"/>
          <w:b/>
          <w:color w:val="000000"/>
          <w:sz w:val="20"/>
          <w:szCs w:val="20"/>
        </w:rPr>
      </w:pPr>
    </w:p>
    <w:p w14:paraId="67B1CDEB" w14:textId="77777777" w:rsidR="00907D84" w:rsidRDefault="00907D84" w:rsidP="00EE1D3B">
      <w:pPr>
        <w:pStyle w:val="NormalWeb"/>
        <w:rPr>
          <w:rFonts w:asciiTheme="minorHAnsi" w:hAnsiTheme="minorHAnsi" w:cstheme="minorHAnsi"/>
          <w:b/>
          <w:color w:val="000000"/>
          <w:sz w:val="20"/>
          <w:szCs w:val="20"/>
        </w:rPr>
      </w:pPr>
    </w:p>
    <w:p w14:paraId="2B359CF2" w14:textId="77777777" w:rsidR="00907D84" w:rsidRDefault="00907D84" w:rsidP="00EE1D3B">
      <w:pPr>
        <w:pStyle w:val="NormalWeb"/>
        <w:rPr>
          <w:rFonts w:asciiTheme="minorHAnsi" w:hAnsiTheme="minorHAnsi" w:cstheme="minorHAnsi"/>
          <w:b/>
          <w:color w:val="000000"/>
          <w:sz w:val="20"/>
          <w:szCs w:val="20"/>
        </w:rPr>
      </w:pPr>
    </w:p>
    <w:p w14:paraId="42D2AAF5" w14:textId="77777777" w:rsidR="00907D84" w:rsidRDefault="00907D84" w:rsidP="00EE1D3B">
      <w:pPr>
        <w:pStyle w:val="NormalWeb"/>
        <w:rPr>
          <w:rFonts w:asciiTheme="minorHAnsi" w:hAnsiTheme="minorHAnsi" w:cstheme="minorHAnsi"/>
          <w:b/>
          <w:color w:val="000000"/>
          <w:sz w:val="20"/>
          <w:szCs w:val="20"/>
        </w:rPr>
      </w:pPr>
    </w:p>
    <w:p w14:paraId="26F557F1" w14:textId="77777777" w:rsidR="00907D84" w:rsidRDefault="00907D84" w:rsidP="00EE1D3B">
      <w:pPr>
        <w:pStyle w:val="NormalWeb"/>
        <w:rPr>
          <w:rFonts w:asciiTheme="minorHAnsi" w:hAnsiTheme="minorHAnsi" w:cstheme="minorHAnsi"/>
          <w:b/>
          <w:color w:val="000000"/>
          <w:sz w:val="20"/>
          <w:szCs w:val="20"/>
        </w:rPr>
      </w:pPr>
    </w:p>
    <w:p w14:paraId="2D3B7159" w14:textId="77777777" w:rsidR="00907D84" w:rsidRDefault="00907D84" w:rsidP="00EE1D3B">
      <w:pPr>
        <w:pStyle w:val="NormalWeb"/>
        <w:rPr>
          <w:rFonts w:asciiTheme="minorHAnsi" w:hAnsiTheme="minorHAnsi" w:cstheme="minorHAnsi"/>
          <w:b/>
          <w:color w:val="000000"/>
          <w:sz w:val="20"/>
          <w:szCs w:val="20"/>
        </w:rPr>
      </w:pPr>
    </w:p>
    <w:p w14:paraId="0B3977C7" w14:textId="77777777" w:rsidR="00F45868" w:rsidRDefault="00F45868" w:rsidP="00EE1D3B">
      <w:pPr>
        <w:pStyle w:val="NormalWeb"/>
        <w:rPr>
          <w:rFonts w:asciiTheme="minorHAnsi" w:hAnsiTheme="minorHAnsi" w:cstheme="minorHAnsi"/>
          <w:b/>
          <w:color w:val="000000"/>
          <w:sz w:val="20"/>
          <w:szCs w:val="20"/>
        </w:rPr>
      </w:pPr>
    </w:p>
    <w:p w14:paraId="4D712CF7" w14:textId="77777777" w:rsidR="00F45868" w:rsidRDefault="00F45868" w:rsidP="00EE1D3B">
      <w:pPr>
        <w:pStyle w:val="NormalWeb"/>
        <w:rPr>
          <w:rFonts w:asciiTheme="minorHAnsi" w:hAnsiTheme="minorHAnsi" w:cstheme="minorHAnsi"/>
          <w:b/>
          <w:color w:val="000000"/>
          <w:sz w:val="20"/>
          <w:szCs w:val="20"/>
        </w:rPr>
      </w:pPr>
    </w:p>
    <w:p w14:paraId="12994563" w14:textId="77777777" w:rsidR="00F45868" w:rsidRDefault="00F45868" w:rsidP="00EE1D3B">
      <w:pPr>
        <w:pStyle w:val="NormalWeb"/>
        <w:rPr>
          <w:rFonts w:asciiTheme="minorHAnsi" w:hAnsiTheme="minorHAnsi" w:cstheme="minorHAnsi"/>
          <w:b/>
          <w:color w:val="000000"/>
          <w:sz w:val="20"/>
          <w:szCs w:val="20"/>
        </w:rPr>
      </w:pPr>
    </w:p>
    <w:p w14:paraId="480D2F1A" w14:textId="77777777" w:rsidR="00F45868" w:rsidRDefault="00F45868" w:rsidP="00EE1D3B">
      <w:pPr>
        <w:pStyle w:val="NormalWeb"/>
        <w:rPr>
          <w:rFonts w:asciiTheme="minorHAnsi" w:hAnsiTheme="minorHAnsi" w:cstheme="minorHAnsi"/>
          <w:b/>
          <w:color w:val="000000"/>
          <w:sz w:val="20"/>
          <w:szCs w:val="20"/>
        </w:rPr>
      </w:pPr>
    </w:p>
    <w:p w14:paraId="4B774D7C" w14:textId="77777777" w:rsidR="00F45868" w:rsidRDefault="00F45868" w:rsidP="00EE1D3B">
      <w:pPr>
        <w:pStyle w:val="NormalWeb"/>
        <w:rPr>
          <w:rFonts w:asciiTheme="minorHAnsi" w:hAnsiTheme="minorHAnsi" w:cstheme="minorHAnsi"/>
          <w:b/>
          <w:color w:val="000000"/>
          <w:sz w:val="20"/>
          <w:szCs w:val="20"/>
        </w:rPr>
      </w:pPr>
    </w:p>
    <w:p w14:paraId="67CE3CFF" w14:textId="77777777" w:rsidR="00F45868" w:rsidRDefault="00F45868" w:rsidP="00EE1D3B">
      <w:pPr>
        <w:pStyle w:val="NormalWeb"/>
        <w:rPr>
          <w:rFonts w:asciiTheme="minorHAnsi" w:hAnsiTheme="minorHAnsi" w:cstheme="minorHAnsi"/>
          <w:b/>
          <w:color w:val="000000"/>
          <w:sz w:val="20"/>
          <w:szCs w:val="20"/>
        </w:rPr>
      </w:pPr>
    </w:p>
    <w:p w14:paraId="1B6FA186" w14:textId="77777777" w:rsidR="00F45868" w:rsidRDefault="00F45868" w:rsidP="00EE1D3B">
      <w:pPr>
        <w:pStyle w:val="NormalWeb"/>
        <w:rPr>
          <w:rFonts w:asciiTheme="minorHAnsi" w:hAnsiTheme="minorHAnsi" w:cstheme="minorHAnsi"/>
          <w:b/>
          <w:color w:val="000000"/>
          <w:sz w:val="20"/>
          <w:szCs w:val="20"/>
        </w:rPr>
      </w:pPr>
    </w:p>
    <w:p w14:paraId="6B2D3329" w14:textId="77777777" w:rsidR="00F45868" w:rsidRDefault="00F45868" w:rsidP="00EE1D3B">
      <w:pPr>
        <w:pStyle w:val="NormalWeb"/>
        <w:rPr>
          <w:rFonts w:asciiTheme="minorHAnsi" w:hAnsiTheme="minorHAnsi" w:cstheme="minorHAnsi"/>
          <w:b/>
          <w:color w:val="000000"/>
          <w:sz w:val="20"/>
          <w:szCs w:val="20"/>
        </w:rPr>
      </w:pPr>
    </w:p>
    <w:p w14:paraId="59315DA4" w14:textId="77777777" w:rsidR="00F45868" w:rsidRDefault="00F45868" w:rsidP="00EE1D3B">
      <w:pPr>
        <w:pStyle w:val="NormalWeb"/>
        <w:rPr>
          <w:rFonts w:asciiTheme="minorHAnsi" w:hAnsiTheme="minorHAnsi" w:cstheme="minorHAnsi"/>
          <w:b/>
          <w:color w:val="000000"/>
          <w:sz w:val="20"/>
          <w:szCs w:val="20"/>
        </w:rPr>
      </w:pPr>
    </w:p>
    <w:p w14:paraId="6314CF9E" w14:textId="77777777" w:rsidR="00F45868" w:rsidRDefault="00F45868" w:rsidP="00EE1D3B">
      <w:pPr>
        <w:pStyle w:val="NormalWeb"/>
        <w:rPr>
          <w:rFonts w:asciiTheme="minorHAnsi" w:hAnsiTheme="minorHAnsi" w:cstheme="minorHAnsi"/>
          <w:b/>
          <w:color w:val="000000"/>
          <w:sz w:val="20"/>
          <w:szCs w:val="20"/>
        </w:rPr>
      </w:pPr>
    </w:p>
    <w:p w14:paraId="7FDE81AD" w14:textId="77777777" w:rsidR="00F45868" w:rsidRDefault="00F45868" w:rsidP="00EE1D3B">
      <w:pPr>
        <w:pStyle w:val="NormalWeb"/>
        <w:rPr>
          <w:rFonts w:asciiTheme="minorHAnsi" w:hAnsiTheme="minorHAnsi" w:cstheme="minorHAnsi"/>
          <w:b/>
          <w:color w:val="000000"/>
          <w:sz w:val="20"/>
          <w:szCs w:val="20"/>
        </w:rPr>
      </w:pPr>
    </w:p>
    <w:p w14:paraId="480344E1" w14:textId="77777777" w:rsidR="00F45868" w:rsidRDefault="00F45868" w:rsidP="00EE1D3B">
      <w:pPr>
        <w:pStyle w:val="NormalWeb"/>
        <w:rPr>
          <w:rFonts w:asciiTheme="minorHAnsi" w:hAnsiTheme="minorHAnsi" w:cstheme="minorHAnsi"/>
          <w:b/>
          <w:color w:val="000000"/>
          <w:sz w:val="20"/>
          <w:szCs w:val="20"/>
        </w:rPr>
      </w:pPr>
    </w:p>
    <w:p w14:paraId="5C783108"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lastRenderedPageBreak/>
        <w:t>APPENDIX 1</w:t>
      </w:r>
    </w:p>
    <w:p w14:paraId="09FDE79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Civil Partnership Act 2005</w:t>
      </w:r>
    </w:p>
    <w:p w14:paraId="6CAB0E22"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came into force on 5 December 2005. It gives same-sex couples the same rights as married couples in terms of issues such as parental leave, flexible working, maternity and paternity leave, pensions and benefits packages that are available to spouses.</w:t>
      </w:r>
    </w:p>
    <w:p w14:paraId="794A0C9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1995 (the DDA)</w:t>
      </w:r>
    </w:p>
    <w:p w14:paraId="28D2A9F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requires employers and providers of goods and services to eliminate discrimination against disabled people at all levels.</w:t>
      </w:r>
    </w:p>
    <w:p w14:paraId="34D04FB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employment measures make it unlawful to treat a person less favourably than a non-disabled person because of their impairment in terms of recruitment, training or dismissal, unless the employer can prove this is justified. In order to comply with the Act, an employer is required to look at changes in the work place or working practices and make any reasonable adjustments. This concept of reasonable adjustment is crucial to the legislation. It means that we have a duty to be flexible in relation to the services we offer, both to pupils and staff. The legislation is supported by codes of practice.</w:t>
      </w:r>
    </w:p>
    <w:p w14:paraId="368EDC2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1995 (Amendment) Regulations 2003</w:t>
      </w:r>
    </w:p>
    <w:p w14:paraId="21A162C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(Rights of Access to Goods, Facilities, Services and Premises)</w:t>
      </w:r>
    </w:p>
    <w:p w14:paraId="4756F0C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requires service providers to remove, alter and avoid physical features which prevent access to services by disabled people.</w:t>
      </w:r>
    </w:p>
    <w:p w14:paraId="6D604B53"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Disability Discrimination Act (2005)</w:t>
      </w:r>
    </w:p>
    <w:p w14:paraId="2236961B"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From December 2005, this new Act came into force which amends or updates existing provisions in the 1995 Act. This includes:</w:t>
      </w:r>
    </w:p>
    <w:p w14:paraId="2329537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Extending protection to cover people who have HIV, cancer and multiple sclerosis from the moment they are diagnosed.</w:t>
      </w:r>
    </w:p>
    <w:p w14:paraId="0373C4EA"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Under the 1995 legislation, people with mental health conditions had to prove that they had a mental impairment that has a ‘substantial and long-term impact’ and that the impairment is ‘clinically well recognised’. Those with a physical impairment did not have to prove this. The 2005 Act means that the requirement to have a ‘clinically well recognised’ condition is now dropped.</w:t>
      </w:r>
    </w:p>
    <w:p w14:paraId="0B55FFD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it unlawful for operators of transport vehicles to discriminate against disabled people.</w:t>
      </w:r>
    </w:p>
    <w:p w14:paraId="7D44320B"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it easier for disabled people to rent property and for tenants to make disability-related adaptations.</w:t>
      </w:r>
    </w:p>
    <w:p w14:paraId="3C40BB8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Making sure that private clubs with 25 or more members cannot keep disabled people out, just because they have a disability.</w:t>
      </w:r>
    </w:p>
    <w:p w14:paraId="1A66A9F8"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The Disability Equality Duty for the Public Sector 2006</w:t>
      </w:r>
    </w:p>
    <w:p w14:paraId="6F9361F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places a statutory duty on all public authorities to promote disability equality. This duty means that public authorities must in carrying out their functions have due regard to:</w:t>
      </w:r>
    </w:p>
    <w:p w14:paraId="04221687"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eliminate discrimination that is unlawful under the Act</w:t>
      </w:r>
    </w:p>
    <w:p w14:paraId="2AC6EBC5"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 The need to eliminate harassment that is unlawful under the Act</w:t>
      </w:r>
    </w:p>
    <w:p w14:paraId="2C4FBD4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promote equality of opportunity between disabled persons and other persons; and</w:t>
      </w:r>
    </w:p>
    <w:p w14:paraId="0A1D4F66"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The need to take steps to take account of a disabled person’s impairment, even where that involves treating disabled persons more favourably than other persons.</w:t>
      </w:r>
    </w:p>
    <w:p w14:paraId="217BA02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(Religion and Belief) Regulations 2003</w:t>
      </w:r>
    </w:p>
    <w:p w14:paraId="1EBC809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prohibit discrimination in employment on the grounds of religion or similar philosophical belief.</w:t>
      </w:r>
    </w:p>
    <w:p w14:paraId="409DFB12"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(Sexual Orientation) Regulations 2003</w:t>
      </w:r>
    </w:p>
    <w:p w14:paraId="07B5AFB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extend the legislation to prohibit discrimination in employment on the grounds of sexual orientation.</w:t>
      </w:r>
    </w:p>
    <w:p w14:paraId="6021DE15"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Employment Equality (Age) Regulations 2006</w:t>
      </w:r>
    </w:p>
    <w:p w14:paraId="0E51C218"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Employment Equality (Age) Regulations make it unlawful to discriminate against employees, job seekers and trainees because of their age.</w:t>
      </w:r>
    </w:p>
    <w:p w14:paraId="718FCCDC"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Equal Pay Act 1970 – amended 1983</w:t>
      </w:r>
    </w:p>
    <w:p w14:paraId="34B31254"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is associated with the Sex Discrimination Act 1975 and they complement each other, with infringement of the rights in one not giving rise to proceedings in the other. Whilst the objective of the Sex Discrimination Act is to promote equality of opportunity between men and women generally, the Equal Pay Act is designed to prevent discrimination between men and women in respect of their terms and conditions of employment, including pay. It applies to complaints that less favourable terms are being applied in situations where employees are doing the same or broadly similar work.</w:t>
      </w:r>
    </w:p>
    <w:p w14:paraId="54D2E47A"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Equality Act 2006</w:t>
      </w:r>
    </w:p>
    <w:p w14:paraId="3993EC7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Equality Act had three functions:</w:t>
      </w:r>
    </w:p>
    <w:p w14:paraId="7AE4853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create a single Commission, which will replace the Equal Opportunities Commission (EOC), the Commission for Racial Equality (CRE), and the Disability Rights Commission (DRC). This single commission is called the Commission for Equality and Human Rights (CEHR).</w:t>
      </w:r>
    </w:p>
    <w:p w14:paraId="2BD8BC2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make unlawful (apart from certain exemptions), discrimination on the grounds of religion or belief or sexual orientation in the provision of goods, facilities and services, the management of premises, education and the exercise of public functions.</w:t>
      </w:r>
    </w:p>
    <w:p w14:paraId="34B7A83F"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To create a duty on public authorities to promote equality of opportunity between men and women and to prohibit sex discrimination in the workplace.</w:t>
      </w:r>
    </w:p>
    <w:p w14:paraId="04BE3E93"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Gender Equality Duty 2007</w:t>
      </w:r>
    </w:p>
    <w:p w14:paraId="11733E0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All public sector bodies and private sector, voluntary or charity organisations providing public services, must take gender into consideration when providing employment and service provision.</w:t>
      </w:r>
    </w:p>
    <w:p w14:paraId="0D1F8E54"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European Equal Treatment Directive 1976</w:t>
      </w:r>
    </w:p>
    <w:p w14:paraId="0EA3E2B1"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This provides that there will be no discrimination whatsoever on grounds of sex, either directly or indirectly, by reference in particular to marital or family status. Similar provisions exclude discrimination on grounds of sex in the conditions for access to all jobs or posts, whatever the sector or branch of activity and to training. The </w:t>
      </w:r>
      <w:r w:rsidRPr="00907D84">
        <w:rPr>
          <w:rFonts w:asciiTheme="minorHAnsi" w:hAnsiTheme="minorHAnsi" w:cstheme="minorHAnsi"/>
          <w:color w:val="000000"/>
          <w:sz w:val="20"/>
          <w:szCs w:val="20"/>
        </w:rPr>
        <w:lastRenderedPageBreak/>
        <w:t>principle of equal treatment with regard to working conditions, including dismissal, has the effect of guaranteeing men and women ‘the same conditions without discrimination on the grounds of sex’. The Directive can be directly relied upon by employees within the public sector regardless of whether or not its provisions have been incorporated into UK law.</w:t>
      </w:r>
    </w:p>
    <w:p w14:paraId="403C604A"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Human Rights Act 1998</w:t>
      </w:r>
    </w:p>
    <w:p w14:paraId="6746D55E"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incorporates the European Convention of Human Rights into UK law and applies to public authorities such as the council. As a result the positive rights and freedoms guaranteed under the European Convention have become directly enforceable in UK courts and tribunals. Cases should be brought within one year. From 2nd October 2000 courts and tribunals have to interpret discrimination law in accordance with the European Convention on Human Rights. Areas of UK law where there is not already a remedy for discrimination (e.g. on grounds of sexual orientation) are likely areas for challenge under the Human Rights Act.</w:t>
      </w:r>
    </w:p>
    <w:p w14:paraId="237452DD"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Protection from Harassment Act 1997</w:t>
      </w:r>
    </w:p>
    <w:p w14:paraId="409BA859"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legislation is predominantly aimed at "stalking" but it has implications for employers and employee behaviour in the workplace. The Act states that a person must not pursue a course of conduct that amounts to harassment and which he or she knows or ought to know amounts to harassment. Injunctions can be issued under the Act to stop behaviour that alarms the person or has caused or may cause the person distress. This legislation can also be applied to incidents of harassment in the community.</w:t>
      </w:r>
    </w:p>
    <w:p w14:paraId="2E9643C9" w14:textId="77777777" w:rsidR="00EE1D3B" w:rsidRPr="00907D84" w:rsidRDefault="00EE1D3B" w:rsidP="00EE1D3B">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Race Relations Act 1976 (Race Relations Act)</w:t>
      </w:r>
    </w:p>
    <w:p w14:paraId="55B34D9C" w14:textId="77777777" w:rsidR="00EE1D3B" w:rsidRPr="00907D84" w:rsidRDefault="00EE1D3B" w:rsidP="00EE1D3B">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makes discrimination unlawful on the grounds of colour, race, nationality (including citizenship) or ethnic or national origin. It applies to employment and training and the provision of goods, facilities and services.</w:t>
      </w:r>
    </w:p>
    <w:p w14:paraId="5AB54079"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Race Relations (Amendment) Act 2000</w:t>
      </w:r>
    </w:p>
    <w:p w14:paraId="767743E3"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This Act extends the Race Relations Act 1976. It creates a general duty to promote race equality that requires public authorities to eliminate unlawful racial discrimination and promote equality of opportunity and good relations between people of different racial groups.</w:t>
      </w:r>
    </w:p>
    <w:p w14:paraId="587444D0"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It is unlawful for any public authority to discriminate on racial grounds in carrying out any of its functions. There are additional specific duties for local authorities (and other public authorities) including the production of a Race Equality Scheme and employment related duties in terms of monitoring the ethnicity of job applicants and employees.</w:t>
      </w:r>
    </w:p>
    <w:p w14:paraId="7F80C862"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is supported by detailed Codes of Practice.</w:t>
      </w:r>
    </w:p>
    <w:p w14:paraId="0A945C3A"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Sex Discrimination Act 1975 (Sex Discrimination Act) – amended 1986</w:t>
      </w:r>
    </w:p>
    <w:p w14:paraId="78A2E406"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 Act outlaws discrimination in employment on the grounds of sex or marital status. The Sex Discrimination Act prohibits direct and indirect sex and marital status discrimination against men or women in respect of such matters as selection for appointment, promotion or training. The Act is supported by Codes of Practice.</w:t>
      </w:r>
    </w:p>
    <w:p w14:paraId="1C12BAE9"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Sex Discrimination (Gender Reassignment) Regulations 1999</w:t>
      </w:r>
    </w:p>
    <w:p w14:paraId="15993285"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These extend the Sex Discrimination Act 1975 and prohibit direct discrimination if a person has had or is undergoing gender reassignment</w:t>
      </w:r>
    </w:p>
    <w:p w14:paraId="3133E2CC"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Special Educational Needs and Disability Act 2001</w:t>
      </w:r>
    </w:p>
    <w:p w14:paraId="2E9074B7" w14:textId="77777777" w:rsidR="0029499C"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lastRenderedPageBreak/>
        <w:t>This Act extends the objectives and duties of the Disability Discrimination Act to educational premises. Governing bodies become the ‘responsible authority’ for the purposes of ensuring that disabled pupils suffer no discrimination.</w:t>
      </w:r>
    </w:p>
    <w:p w14:paraId="11F98BBA" w14:textId="77777777" w:rsidR="00F45868" w:rsidRDefault="00F45868" w:rsidP="0029499C">
      <w:pPr>
        <w:pStyle w:val="NormalWeb"/>
        <w:rPr>
          <w:rFonts w:asciiTheme="minorHAnsi" w:hAnsiTheme="minorHAnsi" w:cstheme="minorHAnsi"/>
          <w:color w:val="000000"/>
          <w:sz w:val="20"/>
          <w:szCs w:val="20"/>
        </w:rPr>
      </w:pPr>
    </w:p>
    <w:p w14:paraId="0FEE1CB6" w14:textId="77777777" w:rsidR="00F45868" w:rsidRDefault="00F45868" w:rsidP="0029499C">
      <w:pPr>
        <w:pStyle w:val="NormalWeb"/>
        <w:rPr>
          <w:rFonts w:asciiTheme="minorHAnsi" w:hAnsiTheme="minorHAnsi" w:cstheme="minorHAnsi"/>
          <w:color w:val="000000"/>
          <w:sz w:val="20"/>
          <w:szCs w:val="20"/>
        </w:rPr>
      </w:pPr>
    </w:p>
    <w:p w14:paraId="1841E9C4" w14:textId="77777777" w:rsidR="00F45868" w:rsidRDefault="00F45868" w:rsidP="0029499C">
      <w:pPr>
        <w:pStyle w:val="NormalWeb"/>
        <w:rPr>
          <w:rFonts w:asciiTheme="minorHAnsi" w:hAnsiTheme="minorHAnsi" w:cstheme="minorHAnsi"/>
          <w:color w:val="000000"/>
          <w:sz w:val="20"/>
          <w:szCs w:val="20"/>
        </w:rPr>
      </w:pPr>
    </w:p>
    <w:p w14:paraId="433107C6" w14:textId="77777777" w:rsidR="00F45868" w:rsidRDefault="00F45868" w:rsidP="0029499C">
      <w:pPr>
        <w:pStyle w:val="NormalWeb"/>
        <w:rPr>
          <w:rFonts w:asciiTheme="minorHAnsi" w:hAnsiTheme="minorHAnsi" w:cstheme="minorHAnsi"/>
          <w:color w:val="000000"/>
          <w:sz w:val="20"/>
          <w:szCs w:val="20"/>
        </w:rPr>
      </w:pPr>
    </w:p>
    <w:p w14:paraId="7360A5A1" w14:textId="77777777" w:rsidR="00F45868" w:rsidRDefault="00F45868" w:rsidP="0029499C">
      <w:pPr>
        <w:pStyle w:val="NormalWeb"/>
        <w:rPr>
          <w:rFonts w:asciiTheme="minorHAnsi" w:hAnsiTheme="minorHAnsi" w:cstheme="minorHAnsi"/>
          <w:color w:val="000000"/>
          <w:sz w:val="20"/>
          <w:szCs w:val="20"/>
        </w:rPr>
      </w:pPr>
    </w:p>
    <w:p w14:paraId="01ACD7F4" w14:textId="77777777" w:rsidR="00F45868" w:rsidRDefault="00F45868" w:rsidP="0029499C">
      <w:pPr>
        <w:pStyle w:val="NormalWeb"/>
        <w:rPr>
          <w:rFonts w:asciiTheme="minorHAnsi" w:hAnsiTheme="minorHAnsi" w:cstheme="minorHAnsi"/>
          <w:color w:val="000000"/>
          <w:sz w:val="20"/>
          <w:szCs w:val="20"/>
        </w:rPr>
      </w:pPr>
    </w:p>
    <w:p w14:paraId="1E039028" w14:textId="77777777" w:rsidR="00F45868" w:rsidRDefault="00F45868" w:rsidP="0029499C">
      <w:pPr>
        <w:pStyle w:val="NormalWeb"/>
        <w:rPr>
          <w:rFonts w:asciiTheme="minorHAnsi" w:hAnsiTheme="minorHAnsi" w:cstheme="minorHAnsi"/>
          <w:color w:val="000000"/>
          <w:sz w:val="20"/>
          <w:szCs w:val="20"/>
        </w:rPr>
      </w:pPr>
    </w:p>
    <w:p w14:paraId="5B42C2AC" w14:textId="77777777" w:rsidR="00F45868" w:rsidRDefault="00F45868" w:rsidP="0029499C">
      <w:pPr>
        <w:pStyle w:val="NormalWeb"/>
        <w:rPr>
          <w:rFonts w:asciiTheme="minorHAnsi" w:hAnsiTheme="minorHAnsi" w:cstheme="minorHAnsi"/>
          <w:color w:val="000000"/>
          <w:sz w:val="20"/>
          <w:szCs w:val="20"/>
        </w:rPr>
      </w:pPr>
    </w:p>
    <w:p w14:paraId="622F77B4" w14:textId="77777777" w:rsidR="00F45868" w:rsidRDefault="00F45868" w:rsidP="0029499C">
      <w:pPr>
        <w:pStyle w:val="NormalWeb"/>
        <w:rPr>
          <w:rFonts w:asciiTheme="minorHAnsi" w:hAnsiTheme="minorHAnsi" w:cstheme="minorHAnsi"/>
          <w:color w:val="000000"/>
          <w:sz w:val="20"/>
          <w:szCs w:val="20"/>
        </w:rPr>
      </w:pPr>
    </w:p>
    <w:p w14:paraId="4E353123" w14:textId="77777777" w:rsidR="00F45868" w:rsidRDefault="00F45868" w:rsidP="0029499C">
      <w:pPr>
        <w:pStyle w:val="NormalWeb"/>
        <w:rPr>
          <w:rFonts w:asciiTheme="minorHAnsi" w:hAnsiTheme="minorHAnsi" w:cstheme="minorHAnsi"/>
          <w:color w:val="000000"/>
          <w:sz w:val="20"/>
          <w:szCs w:val="20"/>
        </w:rPr>
      </w:pPr>
    </w:p>
    <w:p w14:paraId="5E6E70A6" w14:textId="77777777" w:rsidR="00F45868" w:rsidRDefault="00F45868" w:rsidP="0029499C">
      <w:pPr>
        <w:pStyle w:val="NormalWeb"/>
        <w:rPr>
          <w:rFonts w:asciiTheme="minorHAnsi" w:hAnsiTheme="minorHAnsi" w:cstheme="minorHAnsi"/>
          <w:color w:val="000000"/>
          <w:sz w:val="20"/>
          <w:szCs w:val="20"/>
        </w:rPr>
      </w:pPr>
    </w:p>
    <w:p w14:paraId="52EAAF85" w14:textId="77777777" w:rsidR="00F45868" w:rsidRDefault="00F45868" w:rsidP="0029499C">
      <w:pPr>
        <w:pStyle w:val="NormalWeb"/>
        <w:rPr>
          <w:rFonts w:asciiTheme="minorHAnsi" w:hAnsiTheme="minorHAnsi" w:cstheme="minorHAnsi"/>
          <w:color w:val="000000"/>
          <w:sz w:val="20"/>
          <w:szCs w:val="20"/>
        </w:rPr>
      </w:pPr>
    </w:p>
    <w:p w14:paraId="44C280F1" w14:textId="77777777" w:rsidR="00F45868" w:rsidRDefault="00F45868" w:rsidP="0029499C">
      <w:pPr>
        <w:pStyle w:val="NormalWeb"/>
        <w:rPr>
          <w:rFonts w:asciiTheme="minorHAnsi" w:hAnsiTheme="minorHAnsi" w:cstheme="minorHAnsi"/>
          <w:color w:val="000000"/>
          <w:sz w:val="20"/>
          <w:szCs w:val="20"/>
        </w:rPr>
      </w:pPr>
    </w:p>
    <w:p w14:paraId="54EB92D4" w14:textId="77777777" w:rsidR="00F45868" w:rsidRDefault="00F45868" w:rsidP="0029499C">
      <w:pPr>
        <w:pStyle w:val="NormalWeb"/>
        <w:rPr>
          <w:rFonts w:asciiTheme="minorHAnsi" w:hAnsiTheme="minorHAnsi" w:cstheme="minorHAnsi"/>
          <w:color w:val="000000"/>
          <w:sz w:val="20"/>
          <w:szCs w:val="20"/>
        </w:rPr>
      </w:pPr>
    </w:p>
    <w:p w14:paraId="207CA0E3" w14:textId="77777777" w:rsidR="00F45868" w:rsidRDefault="00F45868" w:rsidP="0029499C">
      <w:pPr>
        <w:pStyle w:val="NormalWeb"/>
        <w:rPr>
          <w:rFonts w:asciiTheme="minorHAnsi" w:hAnsiTheme="minorHAnsi" w:cstheme="minorHAnsi"/>
          <w:color w:val="000000"/>
          <w:sz w:val="20"/>
          <w:szCs w:val="20"/>
        </w:rPr>
      </w:pPr>
    </w:p>
    <w:p w14:paraId="50976FD7" w14:textId="77777777" w:rsidR="00F45868" w:rsidRDefault="00F45868" w:rsidP="0029499C">
      <w:pPr>
        <w:pStyle w:val="NormalWeb"/>
        <w:rPr>
          <w:rFonts w:asciiTheme="minorHAnsi" w:hAnsiTheme="minorHAnsi" w:cstheme="minorHAnsi"/>
          <w:color w:val="000000"/>
          <w:sz w:val="20"/>
          <w:szCs w:val="20"/>
        </w:rPr>
      </w:pPr>
    </w:p>
    <w:p w14:paraId="105CA4AD" w14:textId="77777777" w:rsidR="00F45868" w:rsidRDefault="00F45868" w:rsidP="0029499C">
      <w:pPr>
        <w:pStyle w:val="NormalWeb"/>
        <w:rPr>
          <w:rFonts w:asciiTheme="minorHAnsi" w:hAnsiTheme="minorHAnsi" w:cstheme="minorHAnsi"/>
          <w:color w:val="000000"/>
          <w:sz w:val="20"/>
          <w:szCs w:val="20"/>
        </w:rPr>
      </w:pPr>
    </w:p>
    <w:p w14:paraId="4D282C08" w14:textId="77777777" w:rsidR="00F45868" w:rsidRDefault="00F45868" w:rsidP="0029499C">
      <w:pPr>
        <w:pStyle w:val="NormalWeb"/>
        <w:rPr>
          <w:rFonts w:asciiTheme="minorHAnsi" w:hAnsiTheme="minorHAnsi" w:cstheme="minorHAnsi"/>
          <w:color w:val="000000"/>
          <w:sz w:val="20"/>
          <w:szCs w:val="20"/>
        </w:rPr>
      </w:pPr>
    </w:p>
    <w:p w14:paraId="16E70F7E" w14:textId="77777777" w:rsidR="00F45868" w:rsidRDefault="00F45868" w:rsidP="0029499C">
      <w:pPr>
        <w:pStyle w:val="NormalWeb"/>
        <w:rPr>
          <w:rFonts w:asciiTheme="minorHAnsi" w:hAnsiTheme="minorHAnsi" w:cstheme="minorHAnsi"/>
          <w:color w:val="000000"/>
          <w:sz w:val="20"/>
          <w:szCs w:val="20"/>
        </w:rPr>
      </w:pPr>
    </w:p>
    <w:p w14:paraId="6864CE55" w14:textId="77777777" w:rsidR="00F45868" w:rsidRDefault="00F45868" w:rsidP="0029499C">
      <w:pPr>
        <w:pStyle w:val="NormalWeb"/>
        <w:rPr>
          <w:rFonts w:asciiTheme="minorHAnsi" w:hAnsiTheme="minorHAnsi" w:cstheme="minorHAnsi"/>
          <w:color w:val="000000"/>
          <w:sz w:val="20"/>
          <w:szCs w:val="20"/>
        </w:rPr>
      </w:pPr>
    </w:p>
    <w:p w14:paraId="59C7A8E7" w14:textId="77777777" w:rsidR="00F45868" w:rsidRDefault="00F45868" w:rsidP="0029499C">
      <w:pPr>
        <w:pStyle w:val="NormalWeb"/>
        <w:rPr>
          <w:rFonts w:asciiTheme="minorHAnsi" w:hAnsiTheme="minorHAnsi" w:cstheme="minorHAnsi"/>
          <w:color w:val="000000"/>
          <w:sz w:val="20"/>
          <w:szCs w:val="20"/>
        </w:rPr>
      </w:pPr>
    </w:p>
    <w:p w14:paraId="4871D262" w14:textId="77777777" w:rsidR="00F45868" w:rsidRDefault="00F45868" w:rsidP="0029499C">
      <w:pPr>
        <w:pStyle w:val="NormalWeb"/>
        <w:rPr>
          <w:rFonts w:asciiTheme="minorHAnsi" w:hAnsiTheme="minorHAnsi" w:cstheme="minorHAnsi"/>
          <w:color w:val="000000"/>
          <w:sz w:val="20"/>
          <w:szCs w:val="20"/>
        </w:rPr>
      </w:pPr>
    </w:p>
    <w:p w14:paraId="22C81D1F" w14:textId="77777777" w:rsidR="00F45868" w:rsidRDefault="00F45868" w:rsidP="0029499C">
      <w:pPr>
        <w:pStyle w:val="NormalWeb"/>
        <w:rPr>
          <w:rFonts w:asciiTheme="minorHAnsi" w:hAnsiTheme="minorHAnsi" w:cstheme="minorHAnsi"/>
          <w:color w:val="000000"/>
          <w:sz w:val="20"/>
          <w:szCs w:val="20"/>
        </w:rPr>
      </w:pPr>
    </w:p>
    <w:p w14:paraId="3416556F" w14:textId="77777777" w:rsidR="00F45868" w:rsidRDefault="00F45868" w:rsidP="0029499C">
      <w:pPr>
        <w:pStyle w:val="NormalWeb"/>
        <w:rPr>
          <w:rFonts w:asciiTheme="minorHAnsi" w:hAnsiTheme="minorHAnsi" w:cstheme="minorHAnsi"/>
          <w:color w:val="000000"/>
          <w:sz w:val="20"/>
          <w:szCs w:val="20"/>
        </w:rPr>
      </w:pPr>
    </w:p>
    <w:p w14:paraId="231BDEB1" w14:textId="77777777" w:rsidR="00F45868" w:rsidRDefault="00F45868" w:rsidP="0029499C">
      <w:pPr>
        <w:pStyle w:val="NormalWeb"/>
        <w:rPr>
          <w:rFonts w:asciiTheme="minorHAnsi" w:hAnsiTheme="minorHAnsi" w:cstheme="minorHAnsi"/>
          <w:color w:val="000000"/>
          <w:sz w:val="20"/>
          <w:szCs w:val="20"/>
        </w:rPr>
      </w:pPr>
    </w:p>
    <w:p w14:paraId="107F68C7" w14:textId="77777777" w:rsidR="00F45868" w:rsidRPr="00907D84" w:rsidRDefault="00F45868" w:rsidP="0029499C">
      <w:pPr>
        <w:pStyle w:val="NormalWeb"/>
        <w:rPr>
          <w:rFonts w:asciiTheme="minorHAnsi" w:hAnsiTheme="minorHAnsi" w:cstheme="minorHAnsi"/>
          <w:color w:val="000000"/>
          <w:sz w:val="20"/>
          <w:szCs w:val="20"/>
        </w:rPr>
      </w:pPr>
    </w:p>
    <w:p w14:paraId="76DA6AB1" w14:textId="77777777" w:rsidR="0029499C" w:rsidRPr="00907D84" w:rsidRDefault="0029499C" w:rsidP="0029499C">
      <w:pPr>
        <w:pStyle w:val="NormalWeb"/>
        <w:rPr>
          <w:rFonts w:asciiTheme="minorHAnsi" w:hAnsiTheme="minorHAnsi" w:cstheme="minorHAnsi"/>
          <w:b/>
          <w:color w:val="000000"/>
          <w:sz w:val="20"/>
          <w:szCs w:val="20"/>
        </w:rPr>
      </w:pPr>
      <w:r w:rsidRPr="00907D84">
        <w:rPr>
          <w:rFonts w:asciiTheme="minorHAnsi" w:hAnsiTheme="minorHAnsi" w:cstheme="minorHAnsi"/>
          <w:b/>
          <w:color w:val="000000"/>
          <w:sz w:val="20"/>
          <w:szCs w:val="20"/>
        </w:rPr>
        <w:t>APPENDIX 2</w:t>
      </w:r>
    </w:p>
    <w:p w14:paraId="343BFCD1" w14:textId="6C13AC9A"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Single Community Cohesion and Equality Scheme and </w:t>
      </w:r>
      <w:r w:rsidR="008272DC">
        <w:rPr>
          <w:rFonts w:asciiTheme="minorHAnsi" w:hAnsiTheme="minorHAnsi" w:cstheme="minorHAnsi"/>
          <w:color w:val="000000"/>
          <w:sz w:val="20"/>
          <w:szCs w:val="20"/>
        </w:rPr>
        <w:t xml:space="preserve">Accessibility </w:t>
      </w:r>
      <w:r w:rsidRPr="00907D84">
        <w:rPr>
          <w:rFonts w:asciiTheme="minorHAnsi" w:hAnsiTheme="minorHAnsi" w:cstheme="minorHAnsi"/>
          <w:color w:val="000000"/>
          <w:sz w:val="20"/>
          <w:szCs w:val="20"/>
        </w:rPr>
        <w:t xml:space="preserve">Plan </w:t>
      </w:r>
      <w:r w:rsidR="009D2E1B">
        <w:rPr>
          <w:rFonts w:asciiTheme="minorHAnsi" w:hAnsiTheme="minorHAnsi" w:cstheme="minorHAnsi"/>
          <w:color w:val="000000"/>
          <w:sz w:val="20"/>
          <w:szCs w:val="20"/>
        </w:rPr>
        <w:t>202</w:t>
      </w:r>
      <w:r w:rsidR="00F45868">
        <w:rPr>
          <w:rFonts w:asciiTheme="minorHAnsi" w:hAnsiTheme="minorHAnsi" w:cstheme="minorHAnsi"/>
          <w:color w:val="000000"/>
          <w:sz w:val="20"/>
          <w:szCs w:val="20"/>
        </w:rPr>
        <w:t>5</w:t>
      </w:r>
      <w:r w:rsidR="00DE5D61">
        <w:rPr>
          <w:rFonts w:asciiTheme="minorHAnsi" w:hAnsiTheme="minorHAnsi" w:cstheme="minorHAnsi"/>
          <w:color w:val="000000"/>
          <w:sz w:val="20"/>
          <w:szCs w:val="20"/>
        </w:rPr>
        <w:t>-202</w:t>
      </w:r>
      <w:r w:rsidR="00F45868">
        <w:rPr>
          <w:rFonts w:asciiTheme="minorHAnsi" w:hAnsiTheme="minorHAnsi" w:cstheme="minorHAnsi"/>
          <w:color w:val="000000"/>
          <w:sz w:val="20"/>
          <w:szCs w:val="20"/>
        </w:rPr>
        <w:t>7</w:t>
      </w:r>
    </w:p>
    <w:p w14:paraId="7C5EA2C8" w14:textId="77777777" w:rsidR="0029499C" w:rsidRPr="00907D84" w:rsidRDefault="0029499C" w:rsidP="0029499C">
      <w:pPr>
        <w:pStyle w:val="NormalWeb"/>
        <w:rPr>
          <w:rFonts w:asciiTheme="minorHAnsi" w:hAnsiTheme="minorHAnsi" w:cstheme="minorHAnsi"/>
          <w:color w:val="000000"/>
          <w:sz w:val="20"/>
          <w:szCs w:val="20"/>
        </w:rPr>
      </w:pPr>
      <w:r w:rsidRPr="00907D84">
        <w:rPr>
          <w:rFonts w:asciiTheme="minorHAnsi" w:hAnsiTheme="minorHAnsi" w:cstheme="minorHAnsi"/>
          <w:color w:val="000000"/>
          <w:sz w:val="20"/>
          <w:szCs w:val="20"/>
        </w:rPr>
        <w:t xml:space="preserve">The following action plan outlines what will be achieved in the </w:t>
      </w:r>
      <w:r w:rsidR="00907D84">
        <w:rPr>
          <w:rFonts w:asciiTheme="minorHAnsi" w:hAnsiTheme="minorHAnsi" w:cstheme="minorHAnsi"/>
          <w:color w:val="000000"/>
          <w:sz w:val="20"/>
          <w:szCs w:val="20"/>
        </w:rPr>
        <w:t xml:space="preserve">2 years </w:t>
      </w:r>
      <w:r w:rsidRPr="00907D84">
        <w:rPr>
          <w:rFonts w:asciiTheme="minorHAnsi" w:hAnsiTheme="minorHAnsi" w:cstheme="minorHAnsi"/>
          <w:color w:val="000000"/>
          <w:sz w:val="20"/>
          <w:szCs w:val="20"/>
        </w:rPr>
        <w:t>with regards to meeting the obligations outlined in the Equalities Policy.</w:t>
      </w:r>
    </w:p>
    <w:tbl>
      <w:tblPr>
        <w:tblStyle w:val="TableGrid"/>
        <w:tblW w:w="0" w:type="auto"/>
        <w:tblLook w:val="04A0" w:firstRow="1" w:lastRow="0" w:firstColumn="1" w:lastColumn="0" w:noHBand="0" w:noVBand="1"/>
      </w:tblPr>
      <w:tblGrid>
        <w:gridCol w:w="1803"/>
        <w:gridCol w:w="1803"/>
        <w:gridCol w:w="1803"/>
        <w:gridCol w:w="1803"/>
        <w:gridCol w:w="1804"/>
      </w:tblGrid>
      <w:tr w:rsidR="00907D84" w14:paraId="5DC5BDE0" w14:textId="77777777" w:rsidTr="00907D84">
        <w:tc>
          <w:tcPr>
            <w:tcW w:w="1803" w:type="dxa"/>
          </w:tcPr>
          <w:p w14:paraId="5597D016"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Aspect of the duty</w:t>
            </w:r>
          </w:p>
        </w:tc>
        <w:tc>
          <w:tcPr>
            <w:tcW w:w="1803" w:type="dxa"/>
          </w:tcPr>
          <w:p w14:paraId="3C16B887"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issue</w:t>
            </w:r>
          </w:p>
        </w:tc>
        <w:tc>
          <w:tcPr>
            <w:tcW w:w="1803" w:type="dxa"/>
          </w:tcPr>
          <w:p w14:paraId="4EB1F965"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action</w:t>
            </w:r>
          </w:p>
        </w:tc>
        <w:tc>
          <w:tcPr>
            <w:tcW w:w="1803" w:type="dxa"/>
          </w:tcPr>
          <w:p w14:paraId="1CB9762E"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responsibility</w:t>
            </w:r>
          </w:p>
        </w:tc>
        <w:tc>
          <w:tcPr>
            <w:tcW w:w="1804" w:type="dxa"/>
          </w:tcPr>
          <w:p w14:paraId="11F77810"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timescale</w:t>
            </w:r>
          </w:p>
        </w:tc>
      </w:tr>
      <w:tr w:rsidR="00907D84" w14:paraId="4F657997" w14:textId="77777777" w:rsidTr="00907D84">
        <w:tc>
          <w:tcPr>
            <w:tcW w:w="1803" w:type="dxa"/>
          </w:tcPr>
          <w:p w14:paraId="06121FD5"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Developing a voice for disabled members of the school community</w:t>
            </w:r>
          </w:p>
        </w:tc>
        <w:tc>
          <w:tcPr>
            <w:tcW w:w="1803" w:type="dxa"/>
          </w:tcPr>
          <w:p w14:paraId="005BDF9C"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Disabled children have a voice</w:t>
            </w:r>
          </w:p>
        </w:tc>
        <w:tc>
          <w:tcPr>
            <w:tcW w:w="1803" w:type="dxa"/>
          </w:tcPr>
          <w:p w14:paraId="5F9E241C"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All children encouraged to be in pupil council</w:t>
            </w:r>
          </w:p>
        </w:tc>
        <w:tc>
          <w:tcPr>
            <w:tcW w:w="1803" w:type="dxa"/>
          </w:tcPr>
          <w:p w14:paraId="50DC281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28FB652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2EC0E25" w14:textId="77777777" w:rsidTr="00907D84">
        <w:tc>
          <w:tcPr>
            <w:tcW w:w="1803" w:type="dxa"/>
          </w:tcPr>
          <w:p w14:paraId="02F67492" w14:textId="77777777" w:rsidR="00907D84" w:rsidRDefault="00907D84">
            <w:pPr>
              <w:rPr>
                <w:rFonts w:asciiTheme="minorHAnsi" w:hAnsiTheme="minorHAnsi" w:cstheme="minorHAnsi"/>
                <w:sz w:val="20"/>
                <w:szCs w:val="20"/>
              </w:rPr>
            </w:pPr>
          </w:p>
        </w:tc>
        <w:tc>
          <w:tcPr>
            <w:tcW w:w="1803" w:type="dxa"/>
          </w:tcPr>
          <w:p w14:paraId="43E2A8EE" w14:textId="77777777" w:rsidR="00907D84" w:rsidRDefault="00907D84">
            <w:pPr>
              <w:rPr>
                <w:rFonts w:asciiTheme="minorHAnsi" w:hAnsiTheme="minorHAnsi" w:cstheme="minorHAnsi"/>
                <w:sz w:val="20"/>
                <w:szCs w:val="20"/>
              </w:rPr>
            </w:pPr>
            <w:r>
              <w:rPr>
                <w:rFonts w:asciiTheme="minorHAnsi" w:hAnsiTheme="minorHAnsi" w:cstheme="minorHAnsi"/>
                <w:sz w:val="20"/>
                <w:szCs w:val="20"/>
              </w:rPr>
              <w:t>All groups are represented across the school</w:t>
            </w:r>
          </w:p>
        </w:tc>
        <w:tc>
          <w:tcPr>
            <w:tcW w:w="1803" w:type="dxa"/>
          </w:tcPr>
          <w:p w14:paraId="69778C86"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 xml:space="preserve">Ensure all faiths and heritages are represented </w:t>
            </w:r>
          </w:p>
        </w:tc>
        <w:tc>
          <w:tcPr>
            <w:tcW w:w="1803" w:type="dxa"/>
          </w:tcPr>
          <w:p w14:paraId="2A56EE4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w:t>
            </w:r>
          </w:p>
        </w:tc>
        <w:tc>
          <w:tcPr>
            <w:tcW w:w="1804" w:type="dxa"/>
          </w:tcPr>
          <w:p w14:paraId="63FF444C"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338EC3D2" w14:textId="77777777" w:rsidTr="00907D84">
        <w:tc>
          <w:tcPr>
            <w:tcW w:w="1803" w:type="dxa"/>
          </w:tcPr>
          <w:p w14:paraId="44E788EB" w14:textId="77777777" w:rsidR="00907D84" w:rsidRDefault="00907D84">
            <w:pPr>
              <w:rPr>
                <w:rFonts w:asciiTheme="minorHAnsi" w:hAnsiTheme="minorHAnsi" w:cstheme="minorHAnsi"/>
                <w:sz w:val="20"/>
                <w:szCs w:val="20"/>
              </w:rPr>
            </w:pPr>
          </w:p>
        </w:tc>
        <w:tc>
          <w:tcPr>
            <w:tcW w:w="1803" w:type="dxa"/>
          </w:tcPr>
          <w:p w14:paraId="017C734C"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Not all parental groups are represented in school community</w:t>
            </w:r>
          </w:p>
        </w:tc>
        <w:tc>
          <w:tcPr>
            <w:tcW w:w="1803" w:type="dxa"/>
          </w:tcPr>
          <w:p w14:paraId="1E5FC88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Increase parental voice of vulnerable families</w:t>
            </w:r>
          </w:p>
        </w:tc>
        <w:tc>
          <w:tcPr>
            <w:tcW w:w="1803" w:type="dxa"/>
          </w:tcPr>
          <w:p w14:paraId="5B9BE8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 family link</w:t>
            </w:r>
          </w:p>
        </w:tc>
        <w:tc>
          <w:tcPr>
            <w:tcW w:w="1804" w:type="dxa"/>
          </w:tcPr>
          <w:p w14:paraId="0743152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18675C5A" w14:textId="77777777" w:rsidTr="00907D84">
        <w:tc>
          <w:tcPr>
            <w:tcW w:w="1803" w:type="dxa"/>
          </w:tcPr>
          <w:p w14:paraId="06FB1C8B"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Encourage participation in public life of disabled people</w:t>
            </w:r>
          </w:p>
        </w:tc>
        <w:tc>
          <w:tcPr>
            <w:tcW w:w="1803" w:type="dxa"/>
          </w:tcPr>
          <w:p w14:paraId="6A82BE6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fair representation  of all children in clubs and activities</w:t>
            </w:r>
          </w:p>
        </w:tc>
        <w:tc>
          <w:tcPr>
            <w:tcW w:w="1803" w:type="dxa"/>
          </w:tcPr>
          <w:p w14:paraId="34CEB727"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Actively encourage all students to participate in school life</w:t>
            </w:r>
          </w:p>
        </w:tc>
        <w:tc>
          <w:tcPr>
            <w:tcW w:w="1803" w:type="dxa"/>
          </w:tcPr>
          <w:p w14:paraId="79552F2D"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53FFD3A6"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BE28AF9" w14:textId="77777777" w:rsidTr="00907D84">
        <w:tc>
          <w:tcPr>
            <w:tcW w:w="1803" w:type="dxa"/>
          </w:tcPr>
          <w:p w14:paraId="504EA264" w14:textId="77777777" w:rsidR="00907D84" w:rsidRDefault="00A96CC9" w:rsidP="00A96CC9">
            <w:pPr>
              <w:rPr>
                <w:rFonts w:asciiTheme="minorHAnsi" w:hAnsiTheme="minorHAnsi" w:cstheme="minorHAnsi"/>
                <w:sz w:val="20"/>
                <w:szCs w:val="20"/>
              </w:rPr>
            </w:pPr>
            <w:r>
              <w:rPr>
                <w:rFonts w:asciiTheme="minorHAnsi" w:hAnsiTheme="minorHAnsi" w:cstheme="minorHAnsi"/>
                <w:sz w:val="20"/>
                <w:szCs w:val="20"/>
              </w:rPr>
              <w:t>Eliminating harassment and bullying</w:t>
            </w:r>
          </w:p>
        </w:tc>
        <w:tc>
          <w:tcPr>
            <w:tcW w:w="1803" w:type="dxa"/>
          </w:tcPr>
          <w:p w14:paraId="73B8AAEB"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children are aware of bullying issues</w:t>
            </w:r>
          </w:p>
        </w:tc>
        <w:tc>
          <w:tcPr>
            <w:tcW w:w="1803" w:type="dxa"/>
          </w:tcPr>
          <w:p w14:paraId="0E81FC59"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Focus on bullying based on differences</w:t>
            </w:r>
          </w:p>
        </w:tc>
        <w:tc>
          <w:tcPr>
            <w:tcW w:w="1803" w:type="dxa"/>
          </w:tcPr>
          <w:p w14:paraId="2BBAA94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32FD563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252DE5BA" w14:textId="77777777" w:rsidTr="00907D84">
        <w:tc>
          <w:tcPr>
            <w:tcW w:w="1803" w:type="dxa"/>
          </w:tcPr>
          <w:p w14:paraId="7CFA555C"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Promoting positive attitudes towards all groups in school</w:t>
            </w:r>
          </w:p>
        </w:tc>
        <w:tc>
          <w:tcPr>
            <w:tcW w:w="1803" w:type="dxa"/>
          </w:tcPr>
          <w:p w14:paraId="2AA9A1A2"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LGBT+ issues are not addressed enough through curriculum</w:t>
            </w:r>
          </w:p>
        </w:tc>
        <w:tc>
          <w:tcPr>
            <w:tcW w:w="1803" w:type="dxa"/>
          </w:tcPr>
          <w:p w14:paraId="48AA9D64"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Ensure texts reflect all aspects of our school community</w:t>
            </w:r>
          </w:p>
          <w:p w14:paraId="5464E17D" w14:textId="77777777" w:rsidR="00A96CC9" w:rsidRDefault="00A96CC9">
            <w:pPr>
              <w:rPr>
                <w:rFonts w:asciiTheme="minorHAnsi" w:hAnsiTheme="minorHAnsi" w:cstheme="minorHAnsi"/>
                <w:sz w:val="20"/>
                <w:szCs w:val="20"/>
              </w:rPr>
            </w:pPr>
            <w:r>
              <w:rPr>
                <w:rFonts w:asciiTheme="minorHAnsi" w:hAnsiTheme="minorHAnsi" w:cstheme="minorHAnsi"/>
                <w:sz w:val="20"/>
                <w:szCs w:val="20"/>
              </w:rPr>
              <w:t>Through delivery of RSE</w:t>
            </w:r>
          </w:p>
        </w:tc>
        <w:tc>
          <w:tcPr>
            <w:tcW w:w="1803" w:type="dxa"/>
          </w:tcPr>
          <w:p w14:paraId="3D2B624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4466573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1B2D3174" w14:textId="77777777" w:rsidTr="00907D84">
        <w:tc>
          <w:tcPr>
            <w:tcW w:w="1803" w:type="dxa"/>
          </w:tcPr>
          <w:p w14:paraId="6CD2E23D" w14:textId="77777777" w:rsidR="00907D84" w:rsidRDefault="00907D84">
            <w:pPr>
              <w:rPr>
                <w:rFonts w:asciiTheme="minorHAnsi" w:hAnsiTheme="minorHAnsi" w:cstheme="minorHAnsi"/>
                <w:sz w:val="20"/>
                <w:szCs w:val="20"/>
              </w:rPr>
            </w:pPr>
          </w:p>
        </w:tc>
        <w:tc>
          <w:tcPr>
            <w:tcW w:w="1803" w:type="dxa"/>
          </w:tcPr>
          <w:p w14:paraId="713E3D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Evidence of isolated racist and homophobic remarks made by children</w:t>
            </w:r>
          </w:p>
        </w:tc>
        <w:tc>
          <w:tcPr>
            <w:tcW w:w="1803" w:type="dxa"/>
          </w:tcPr>
          <w:p w14:paraId="7BDA084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Review PSHE curriculum and ensure children are taught about racism and homophobic language throughout the school</w:t>
            </w:r>
          </w:p>
        </w:tc>
        <w:tc>
          <w:tcPr>
            <w:tcW w:w="1803" w:type="dxa"/>
          </w:tcPr>
          <w:p w14:paraId="767D917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4A43840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726FA7FB" w14:textId="77777777" w:rsidTr="00907D84">
        <w:tc>
          <w:tcPr>
            <w:tcW w:w="1803" w:type="dxa"/>
          </w:tcPr>
          <w:p w14:paraId="2FCEDD00" w14:textId="77777777" w:rsidR="00907D84" w:rsidRDefault="00A96CC9">
            <w:pPr>
              <w:rPr>
                <w:rFonts w:asciiTheme="minorHAnsi" w:hAnsiTheme="minorHAnsi" w:cstheme="minorHAnsi"/>
                <w:sz w:val="20"/>
                <w:szCs w:val="20"/>
              </w:rPr>
            </w:pPr>
            <w:r>
              <w:rPr>
                <w:rFonts w:asciiTheme="minorHAnsi" w:hAnsiTheme="minorHAnsi" w:cstheme="minorHAnsi"/>
                <w:sz w:val="20"/>
                <w:szCs w:val="20"/>
              </w:rPr>
              <w:t>Removing barriers</w:t>
            </w:r>
          </w:p>
        </w:tc>
        <w:tc>
          <w:tcPr>
            <w:tcW w:w="1803" w:type="dxa"/>
          </w:tcPr>
          <w:p w14:paraId="2E0102C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Make written materials available in different materials</w:t>
            </w:r>
          </w:p>
        </w:tc>
        <w:tc>
          <w:tcPr>
            <w:tcW w:w="1803" w:type="dxa"/>
          </w:tcPr>
          <w:p w14:paraId="77D41B20"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Build bank of resources so displays can be fully accessible for all</w:t>
            </w:r>
          </w:p>
        </w:tc>
        <w:tc>
          <w:tcPr>
            <w:tcW w:w="1803" w:type="dxa"/>
          </w:tcPr>
          <w:p w14:paraId="1F21997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w:t>
            </w:r>
          </w:p>
          <w:p w14:paraId="6709CB17" w14:textId="77777777" w:rsidR="00E61ED1" w:rsidRDefault="00E61ED1">
            <w:pPr>
              <w:rPr>
                <w:rFonts w:asciiTheme="minorHAnsi" w:hAnsiTheme="minorHAnsi" w:cstheme="minorHAnsi"/>
                <w:sz w:val="20"/>
                <w:szCs w:val="20"/>
              </w:rPr>
            </w:pPr>
            <w:r>
              <w:rPr>
                <w:rFonts w:asciiTheme="minorHAnsi" w:hAnsiTheme="minorHAnsi" w:cstheme="minorHAnsi"/>
                <w:sz w:val="20"/>
                <w:szCs w:val="20"/>
              </w:rPr>
              <w:t>office</w:t>
            </w:r>
          </w:p>
        </w:tc>
        <w:tc>
          <w:tcPr>
            <w:tcW w:w="1804" w:type="dxa"/>
          </w:tcPr>
          <w:p w14:paraId="7DC10F2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1834D94" w14:textId="77777777" w:rsidTr="00907D84">
        <w:tc>
          <w:tcPr>
            <w:tcW w:w="1803" w:type="dxa"/>
          </w:tcPr>
          <w:p w14:paraId="408C2D69" w14:textId="77777777" w:rsidR="00907D84" w:rsidRDefault="00907D84">
            <w:pPr>
              <w:rPr>
                <w:rFonts w:asciiTheme="minorHAnsi" w:hAnsiTheme="minorHAnsi" w:cstheme="minorHAnsi"/>
                <w:sz w:val="20"/>
                <w:szCs w:val="20"/>
              </w:rPr>
            </w:pPr>
          </w:p>
        </w:tc>
        <w:tc>
          <w:tcPr>
            <w:tcW w:w="1803" w:type="dxa"/>
          </w:tcPr>
          <w:p w14:paraId="5CB6FE4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environment takes account of all languages at our school</w:t>
            </w:r>
          </w:p>
        </w:tc>
        <w:tc>
          <w:tcPr>
            <w:tcW w:w="1803" w:type="dxa"/>
          </w:tcPr>
          <w:p w14:paraId="734570D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Use of google translate for display signs</w:t>
            </w:r>
          </w:p>
        </w:tc>
        <w:tc>
          <w:tcPr>
            <w:tcW w:w="1803" w:type="dxa"/>
          </w:tcPr>
          <w:p w14:paraId="4A069E6E"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All staff</w:t>
            </w:r>
          </w:p>
        </w:tc>
        <w:tc>
          <w:tcPr>
            <w:tcW w:w="1804" w:type="dxa"/>
          </w:tcPr>
          <w:p w14:paraId="7AF8AFF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08658844" w14:textId="77777777" w:rsidTr="00907D84">
        <w:tc>
          <w:tcPr>
            <w:tcW w:w="1803" w:type="dxa"/>
          </w:tcPr>
          <w:p w14:paraId="1543FF1C" w14:textId="77777777" w:rsidR="00907D84" w:rsidRDefault="00907D84">
            <w:pPr>
              <w:rPr>
                <w:rFonts w:asciiTheme="minorHAnsi" w:hAnsiTheme="minorHAnsi" w:cstheme="minorHAnsi"/>
                <w:sz w:val="20"/>
                <w:szCs w:val="20"/>
              </w:rPr>
            </w:pPr>
          </w:p>
        </w:tc>
        <w:tc>
          <w:tcPr>
            <w:tcW w:w="1803" w:type="dxa"/>
          </w:tcPr>
          <w:p w14:paraId="6C9E8E9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IT infrastructure is accessible for all</w:t>
            </w:r>
          </w:p>
        </w:tc>
        <w:tc>
          <w:tcPr>
            <w:tcW w:w="1803" w:type="dxa"/>
          </w:tcPr>
          <w:p w14:paraId="19D02FC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hardware and software meets needs of children</w:t>
            </w:r>
          </w:p>
        </w:tc>
        <w:tc>
          <w:tcPr>
            <w:tcW w:w="1803" w:type="dxa"/>
          </w:tcPr>
          <w:p w14:paraId="62C512A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HT and IT lead</w:t>
            </w:r>
          </w:p>
        </w:tc>
        <w:tc>
          <w:tcPr>
            <w:tcW w:w="1804" w:type="dxa"/>
          </w:tcPr>
          <w:p w14:paraId="3D6936B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63244634" w14:textId="77777777" w:rsidTr="00907D84">
        <w:tc>
          <w:tcPr>
            <w:tcW w:w="1803" w:type="dxa"/>
          </w:tcPr>
          <w:p w14:paraId="3A29547F" w14:textId="77777777" w:rsidR="00907D84" w:rsidRDefault="00907D84">
            <w:pPr>
              <w:rPr>
                <w:rFonts w:asciiTheme="minorHAnsi" w:hAnsiTheme="minorHAnsi" w:cstheme="minorHAnsi"/>
                <w:sz w:val="20"/>
                <w:szCs w:val="20"/>
              </w:rPr>
            </w:pPr>
          </w:p>
        </w:tc>
        <w:tc>
          <w:tcPr>
            <w:tcW w:w="1803" w:type="dxa"/>
          </w:tcPr>
          <w:p w14:paraId="5E9B640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school furnishings do not provide barriers</w:t>
            </w:r>
          </w:p>
        </w:tc>
        <w:tc>
          <w:tcPr>
            <w:tcW w:w="1803" w:type="dxa"/>
          </w:tcPr>
          <w:p w14:paraId="0A593CDC"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Audit spaces within school to ensure accessibility</w:t>
            </w:r>
          </w:p>
        </w:tc>
        <w:tc>
          <w:tcPr>
            <w:tcW w:w="1803" w:type="dxa"/>
          </w:tcPr>
          <w:p w14:paraId="1C806F0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 xml:space="preserve">HT. </w:t>
            </w:r>
            <w:proofErr w:type="spellStart"/>
            <w:r>
              <w:rPr>
                <w:rFonts w:asciiTheme="minorHAnsi" w:hAnsiTheme="minorHAnsi" w:cstheme="minorHAnsi"/>
                <w:sz w:val="20"/>
                <w:szCs w:val="20"/>
              </w:rPr>
              <w:t>SENco</w:t>
            </w:r>
            <w:proofErr w:type="spellEnd"/>
          </w:p>
        </w:tc>
        <w:tc>
          <w:tcPr>
            <w:tcW w:w="1804" w:type="dxa"/>
          </w:tcPr>
          <w:p w14:paraId="062F643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B806B3A" w14:textId="77777777" w:rsidTr="00907D84">
        <w:tc>
          <w:tcPr>
            <w:tcW w:w="1803" w:type="dxa"/>
          </w:tcPr>
          <w:p w14:paraId="01A629E3"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Impact assessment</w:t>
            </w:r>
          </w:p>
        </w:tc>
        <w:tc>
          <w:tcPr>
            <w:tcW w:w="1803" w:type="dxa"/>
          </w:tcPr>
          <w:p w14:paraId="5EA199A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good progress</w:t>
            </w:r>
          </w:p>
        </w:tc>
        <w:tc>
          <w:tcPr>
            <w:tcW w:w="1803" w:type="dxa"/>
          </w:tcPr>
          <w:p w14:paraId="789020E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pupils can make good progress</w:t>
            </w:r>
          </w:p>
        </w:tc>
        <w:tc>
          <w:tcPr>
            <w:tcW w:w="1803" w:type="dxa"/>
          </w:tcPr>
          <w:p w14:paraId="4C4B8B5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092E97C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73D49124" w14:textId="77777777" w:rsidTr="00907D84">
        <w:tc>
          <w:tcPr>
            <w:tcW w:w="1803" w:type="dxa"/>
          </w:tcPr>
          <w:p w14:paraId="689E7F09" w14:textId="77777777" w:rsidR="00907D84" w:rsidRDefault="00907D84">
            <w:pPr>
              <w:rPr>
                <w:rFonts w:asciiTheme="minorHAnsi" w:hAnsiTheme="minorHAnsi" w:cstheme="minorHAnsi"/>
                <w:sz w:val="20"/>
                <w:szCs w:val="20"/>
              </w:rPr>
            </w:pPr>
          </w:p>
        </w:tc>
        <w:tc>
          <w:tcPr>
            <w:tcW w:w="1803" w:type="dxa"/>
          </w:tcPr>
          <w:p w14:paraId="237C7CD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good progress of all heritage groups</w:t>
            </w:r>
          </w:p>
        </w:tc>
        <w:tc>
          <w:tcPr>
            <w:tcW w:w="1803" w:type="dxa"/>
          </w:tcPr>
          <w:p w14:paraId="79CE5EFB"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 xml:space="preserve">Monitor progress </w:t>
            </w:r>
          </w:p>
        </w:tc>
        <w:tc>
          <w:tcPr>
            <w:tcW w:w="1803" w:type="dxa"/>
          </w:tcPr>
          <w:p w14:paraId="7D1EAE5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SLT</w:t>
            </w:r>
          </w:p>
        </w:tc>
        <w:tc>
          <w:tcPr>
            <w:tcW w:w="1804" w:type="dxa"/>
          </w:tcPr>
          <w:p w14:paraId="1D12C32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5E27B93C" w14:textId="77777777" w:rsidTr="00907D84">
        <w:tc>
          <w:tcPr>
            <w:tcW w:w="1803" w:type="dxa"/>
          </w:tcPr>
          <w:p w14:paraId="3CD10F3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The Governing Body</w:t>
            </w:r>
          </w:p>
        </w:tc>
        <w:tc>
          <w:tcPr>
            <w:tcW w:w="1803" w:type="dxa"/>
          </w:tcPr>
          <w:p w14:paraId="3B414B48"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policies are free from discriminatory terms or actions</w:t>
            </w:r>
          </w:p>
        </w:tc>
        <w:tc>
          <w:tcPr>
            <w:tcW w:w="1803" w:type="dxa"/>
          </w:tcPr>
          <w:p w14:paraId="52F1D9A1"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Policies checked and EIA completed</w:t>
            </w:r>
          </w:p>
        </w:tc>
        <w:tc>
          <w:tcPr>
            <w:tcW w:w="1803" w:type="dxa"/>
          </w:tcPr>
          <w:p w14:paraId="2336D27A"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Governors</w:t>
            </w:r>
          </w:p>
        </w:tc>
        <w:tc>
          <w:tcPr>
            <w:tcW w:w="1804" w:type="dxa"/>
          </w:tcPr>
          <w:p w14:paraId="093555C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 going</w:t>
            </w:r>
          </w:p>
        </w:tc>
      </w:tr>
      <w:tr w:rsidR="00907D84" w14:paraId="11E3BBEA" w14:textId="77777777" w:rsidTr="00907D84">
        <w:tc>
          <w:tcPr>
            <w:tcW w:w="1803" w:type="dxa"/>
          </w:tcPr>
          <w:p w14:paraId="34FA10C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Data collection</w:t>
            </w:r>
          </w:p>
        </w:tc>
        <w:tc>
          <w:tcPr>
            <w:tcW w:w="1803" w:type="dxa"/>
          </w:tcPr>
          <w:p w14:paraId="7861B3C5"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all data on SIMs and is passed to staff</w:t>
            </w:r>
          </w:p>
        </w:tc>
        <w:tc>
          <w:tcPr>
            <w:tcW w:w="1803" w:type="dxa"/>
          </w:tcPr>
          <w:p w14:paraId="573A8FD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Check SIMs data</w:t>
            </w:r>
          </w:p>
        </w:tc>
        <w:tc>
          <w:tcPr>
            <w:tcW w:w="1803" w:type="dxa"/>
          </w:tcPr>
          <w:p w14:paraId="7CAD0DEF"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office</w:t>
            </w:r>
          </w:p>
        </w:tc>
        <w:tc>
          <w:tcPr>
            <w:tcW w:w="1804" w:type="dxa"/>
          </w:tcPr>
          <w:p w14:paraId="15FC7A12"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r w:rsidR="00907D84" w14:paraId="3ADE48AB" w14:textId="77777777" w:rsidTr="00907D84">
        <w:tc>
          <w:tcPr>
            <w:tcW w:w="1803" w:type="dxa"/>
          </w:tcPr>
          <w:p w14:paraId="68ACBC66"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Review and monitor</w:t>
            </w:r>
          </w:p>
        </w:tc>
        <w:tc>
          <w:tcPr>
            <w:tcW w:w="1803" w:type="dxa"/>
          </w:tcPr>
          <w:p w14:paraId="45C47E54"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Ensure info relating to standards is collected and disseminated</w:t>
            </w:r>
          </w:p>
        </w:tc>
        <w:tc>
          <w:tcPr>
            <w:tcW w:w="1803" w:type="dxa"/>
          </w:tcPr>
          <w:p w14:paraId="1E2F3E39"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Include updates on HT report to FGB</w:t>
            </w:r>
          </w:p>
        </w:tc>
        <w:tc>
          <w:tcPr>
            <w:tcW w:w="1803" w:type="dxa"/>
          </w:tcPr>
          <w:p w14:paraId="1572E52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Governors</w:t>
            </w:r>
          </w:p>
        </w:tc>
        <w:tc>
          <w:tcPr>
            <w:tcW w:w="1804" w:type="dxa"/>
          </w:tcPr>
          <w:p w14:paraId="73CDD7D7" w14:textId="77777777" w:rsidR="00907D84" w:rsidRDefault="00E61ED1">
            <w:pPr>
              <w:rPr>
                <w:rFonts w:asciiTheme="minorHAnsi" w:hAnsiTheme="minorHAnsi" w:cstheme="minorHAnsi"/>
                <w:sz w:val="20"/>
                <w:szCs w:val="20"/>
              </w:rPr>
            </w:pPr>
            <w:r>
              <w:rPr>
                <w:rFonts w:asciiTheme="minorHAnsi" w:hAnsiTheme="minorHAnsi" w:cstheme="minorHAnsi"/>
                <w:sz w:val="20"/>
                <w:szCs w:val="20"/>
              </w:rPr>
              <w:t>ongoing</w:t>
            </w:r>
          </w:p>
        </w:tc>
      </w:tr>
    </w:tbl>
    <w:p w14:paraId="7C96A1CF" w14:textId="77777777" w:rsidR="00EE1D3B" w:rsidRPr="00907D84" w:rsidRDefault="00EE1D3B">
      <w:pPr>
        <w:rPr>
          <w:rFonts w:asciiTheme="minorHAnsi" w:hAnsiTheme="minorHAnsi" w:cstheme="minorHAnsi"/>
          <w:sz w:val="20"/>
          <w:szCs w:val="20"/>
        </w:rPr>
      </w:pPr>
    </w:p>
    <w:sectPr w:rsidR="00EE1D3B" w:rsidRPr="00907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CB3"/>
    <w:rsid w:val="00273394"/>
    <w:rsid w:val="0029499C"/>
    <w:rsid w:val="002C6CCB"/>
    <w:rsid w:val="002F6DF8"/>
    <w:rsid w:val="00406CB3"/>
    <w:rsid w:val="007D791D"/>
    <w:rsid w:val="008272DC"/>
    <w:rsid w:val="00907D84"/>
    <w:rsid w:val="00974296"/>
    <w:rsid w:val="009D2E1B"/>
    <w:rsid w:val="00A96CC9"/>
    <w:rsid w:val="00B147CF"/>
    <w:rsid w:val="00DE5D61"/>
    <w:rsid w:val="00DF366F"/>
    <w:rsid w:val="00E61ED1"/>
    <w:rsid w:val="00EE1D3B"/>
    <w:rsid w:val="00F45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813E"/>
  <w15:chartTrackingRefBased/>
  <w15:docId w15:val="{99E768ED-9D65-40A4-ABD2-BA698CC5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CB3"/>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uiPriority w:val="9"/>
    <w:semiHidden/>
    <w:unhideWhenUsed/>
    <w:qFormat/>
    <w:rsid w:val="00406CB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406CB3"/>
    <w:rPr>
      <w:rFonts w:asciiTheme="majorHAnsi" w:eastAsiaTheme="majorEastAsia" w:hAnsiTheme="majorHAnsi" w:cstheme="majorBidi"/>
      <w:i/>
      <w:iCs/>
      <w:color w:val="1F4D78" w:themeColor="accent1" w:themeShade="7F"/>
      <w:sz w:val="24"/>
      <w:szCs w:val="24"/>
    </w:rPr>
  </w:style>
  <w:style w:type="paragraph" w:customStyle="1" w:styleId="Default">
    <w:name w:val="Default"/>
    <w:rsid w:val="00406CB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06CB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06CB3"/>
  </w:style>
  <w:style w:type="paragraph" w:styleId="NormalWeb">
    <w:name w:val="Normal (Web)"/>
    <w:basedOn w:val="Normal"/>
    <w:uiPriority w:val="99"/>
    <w:semiHidden/>
    <w:unhideWhenUsed/>
    <w:rsid w:val="00EE1D3B"/>
    <w:pPr>
      <w:spacing w:before="100" w:beforeAutospacing="1" w:after="100" w:afterAutospacing="1"/>
    </w:pPr>
    <w:rPr>
      <w:lang w:eastAsia="en-GB"/>
    </w:rPr>
  </w:style>
  <w:style w:type="table" w:styleId="TableGrid">
    <w:name w:val="Table Grid"/>
    <w:basedOn w:val="TableNormal"/>
    <w:uiPriority w:val="39"/>
    <w:rsid w:val="00907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05343">
      <w:bodyDiv w:val="1"/>
      <w:marLeft w:val="0"/>
      <w:marRight w:val="0"/>
      <w:marTop w:val="0"/>
      <w:marBottom w:val="0"/>
      <w:divBdr>
        <w:top w:val="none" w:sz="0" w:space="0" w:color="auto"/>
        <w:left w:val="none" w:sz="0" w:space="0" w:color="auto"/>
        <w:bottom w:val="none" w:sz="0" w:space="0" w:color="auto"/>
        <w:right w:val="none" w:sz="0" w:space="0" w:color="auto"/>
      </w:divBdr>
    </w:div>
    <w:div w:id="259342192">
      <w:bodyDiv w:val="1"/>
      <w:marLeft w:val="0"/>
      <w:marRight w:val="0"/>
      <w:marTop w:val="0"/>
      <w:marBottom w:val="0"/>
      <w:divBdr>
        <w:top w:val="none" w:sz="0" w:space="0" w:color="auto"/>
        <w:left w:val="none" w:sz="0" w:space="0" w:color="auto"/>
        <w:bottom w:val="none" w:sz="0" w:space="0" w:color="auto"/>
        <w:right w:val="none" w:sz="0" w:space="0" w:color="auto"/>
      </w:divBdr>
    </w:div>
    <w:div w:id="300573940">
      <w:bodyDiv w:val="1"/>
      <w:marLeft w:val="0"/>
      <w:marRight w:val="0"/>
      <w:marTop w:val="0"/>
      <w:marBottom w:val="0"/>
      <w:divBdr>
        <w:top w:val="none" w:sz="0" w:space="0" w:color="auto"/>
        <w:left w:val="none" w:sz="0" w:space="0" w:color="auto"/>
        <w:bottom w:val="none" w:sz="0" w:space="0" w:color="auto"/>
        <w:right w:val="none" w:sz="0" w:space="0" w:color="auto"/>
      </w:divBdr>
    </w:div>
    <w:div w:id="323899301">
      <w:bodyDiv w:val="1"/>
      <w:marLeft w:val="0"/>
      <w:marRight w:val="0"/>
      <w:marTop w:val="0"/>
      <w:marBottom w:val="0"/>
      <w:divBdr>
        <w:top w:val="none" w:sz="0" w:space="0" w:color="auto"/>
        <w:left w:val="none" w:sz="0" w:space="0" w:color="auto"/>
        <w:bottom w:val="none" w:sz="0" w:space="0" w:color="auto"/>
        <w:right w:val="none" w:sz="0" w:space="0" w:color="auto"/>
      </w:divBdr>
    </w:div>
    <w:div w:id="355664504">
      <w:bodyDiv w:val="1"/>
      <w:marLeft w:val="0"/>
      <w:marRight w:val="0"/>
      <w:marTop w:val="0"/>
      <w:marBottom w:val="0"/>
      <w:divBdr>
        <w:top w:val="none" w:sz="0" w:space="0" w:color="auto"/>
        <w:left w:val="none" w:sz="0" w:space="0" w:color="auto"/>
        <w:bottom w:val="none" w:sz="0" w:space="0" w:color="auto"/>
        <w:right w:val="none" w:sz="0" w:space="0" w:color="auto"/>
      </w:divBdr>
    </w:div>
    <w:div w:id="416053917">
      <w:bodyDiv w:val="1"/>
      <w:marLeft w:val="0"/>
      <w:marRight w:val="0"/>
      <w:marTop w:val="0"/>
      <w:marBottom w:val="0"/>
      <w:divBdr>
        <w:top w:val="none" w:sz="0" w:space="0" w:color="auto"/>
        <w:left w:val="none" w:sz="0" w:space="0" w:color="auto"/>
        <w:bottom w:val="none" w:sz="0" w:space="0" w:color="auto"/>
        <w:right w:val="none" w:sz="0" w:space="0" w:color="auto"/>
      </w:divBdr>
    </w:div>
    <w:div w:id="443814859">
      <w:bodyDiv w:val="1"/>
      <w:marLeft w:val="0"/>
      <w:marRight w:val="0"/>
      <w:marTop w:val="0"/>
      <w:marBottom w:val="0"/>
      <w:divBdr>
        <w:top w:val="none" w:sz="0" w:space="0" w:color="auto"/>
        <w:left w:val="none" w:sz="0" w:space="0" w:color="auto"/>
        <w:bottom w:val="none" w:sz="0" w:space="0" w:color="auto"/>
        <w:right w:val="none" w:sz="0" w:space="0" w:color="auto"/>
      </w:divBdr>
    </w:div>
    <w:div w:id="501627170">
      <w:bodyDiv w:val="1"/>
      <w:marLeft w:val="0"/>
      <w:marRight w:val="0"/>
      <w:marTop w:val="0"/>
      <w:marBottom w:val="0"/>
      <w:divBdr>
        <w:top w:val="none" w:sz="0" w:space="0" w:color="auto"/>
        <w:left w:val="none" w:sz="0" w:space="0" w:color="auto"/>
        <w:bottom w:val="none" w:sz="0" w:space="0" w:color="auto"/>
        <w:right w:val="none" w:sz="0" w:space="0" w:color="auto"/>
      </w:divBdr>
    </w:div>
    <w:div w:id="540171035">
      <w:bodyDiv w:val="1"/>
      <w:marLeft w:val="0"/>
      <w:marRight w:val="0"/>
      <w:marTop w:val="0"/>
      <w:marBottom w:val="0"/>
      <w:divBdr>
        <w:top w:val="none" w:sz="0" w:space="0" w:color="auto"/>
        <w:left w:val="none" w:sz="0" w:space="0" w:color="auto"/>
        <w:bottom w:val="none" w:sz="0" w:space="0" w:color="auto"/>
        <w:right w:val="none" w:sz="0" w:space="0" w:color="auto"/>
      </w:divBdr>
    </w:div>
    <w:div w:id="844981303">
      <w:bodyDiv w:val="1"/>
      <w:marLeft w:val="0"/>
      <w:marRight w:val="0"/>
      <w:marTop w:val="0"/>
      <w:marBottom w:val="0"/>
      <w:divBdr>
        <w:top w:val="none" w:sz="0" w:space="0" w:color="auto"/>
        <w:left w:val="none" w:sz="0" w:space="0" w:color="auto"/>
        <w:bottom w:val="none" w:sz="0" w:space="0" w:color="auto"/>
        <w:right w:val="none" w:sz="0" w:space="0" w:color="auto"/>
      </w:divBdr>
    </w:div>
    <w:div w:id="957296684">
      <w:bodyDiv w:val="1"/>
      <w:marLeft w:val="0"/>
      <w:marRight w:val="0"/>
      <w:marTop w:val="0"/>
      <w:marBottom w:val="0"/>
      <w:divBdr>
        <w:top w:val="none" w:sz="0" w:space="0" w:color="auto"/>
        <w:left w:val="none" w:sz="0" w:space="0" w:color="auto"/>
        <w:bottom w:val="none" w:sz="0" w:space="0" w:color="auto"/>
        <w:right w:val="none" w:sz="0" w:space="0" w:color="auto"/>
      </w:divBdr>
    </w:div>
    <w:div w:id="990329911">
      <w:bodyDiv w:val="1"/>
      <w:marLeft w:val="0"/>
      <w:marRight w:val="0"/>
      <w:marTop w:val="0"/>
      <w:marBottom w:val="0"/>
      <w:divBdr>
        <w:top w:val="none" w:sz="0" w:space="0" w:color="auto"/>
        <w:left w:val="none" w:sz="0" w:space="0" w:color="auto"/>
        <w:bottom w:val="none" w:sz="0" w:space="0" w:color="auto"/>
        <w:right w:val="none" w:sz="0" w:space="0" w:color="auto"/>
      </w:divBdr>
    </w:div>
    <w:div w:id="1007557988">
      <w:bodyDiv w:val="1"/>
      <w:marLeft w:val="0"/>
      <w:marRight w:val="0"/>
      <w:marTop w:val="0"/>
      <w:marBottom w:val="0"/>
      <w:divBdr>
        <w:top w:val="none" w:sz="0" w:space="0" w:color="auto"/>
        <w:left w:val="none" w:sz="0" w:space="0" w:color="auto"/>
        <w:bottom w:val="none" w:sz="0" w:space="0" w:color="auto"/>
        <w:right w:val="none" w:sz="0" w:space="0" w:color="auto"/>
      </w:divBdr>
    </w:div>
    <w:div w:id="1082679057">
      <w:bodyDiv w:val="1"/>
      <w:marLeft w:val="0"/>
      <w:marRight w:val="0"/>
      <w:marTop w:val="0"/>
      <w:marBottom w:val="0"/>
      <w:divBdr>
        <w:top w:val="none" w:sz="0" w:space="0" w:color="auto"/>
        <w:left w:val="none" w:sz="0" w:space="0" w:color="auto"/>
        <w:bottom w:val="none" w:sz="0" w:space="0" w:color="auto"/>
        <w:right w:val="none" w:sz="0" w:space="0" w:color="auto"/>
      </w:divBdr>
    </w:div>
    <w:div w:id="1628507362">
      <w:bodyDiv w:val="1"/>
      <w:marLeft w:val="0"/>
      <w:marRight w:val="0"/>
      <w:marTop w:val="0"/>
      <w:marBottom w:val="0"/>
      <w:divBdr>
        <w:top w:val="none" w:sz="0" w:space="0" w:color="auto"/>
        <w:left w:val="none" w:sz="0" w:space="0" w:color="auto"/>
        <w:bottom w:val="none" w:sz="0" w:space="0" w:color="auto"/>
        <w:right w:val="none" w:sz="0" w:space="0" w:color="auto"/>
      </w:divBdr>
    </w:div>
    <w:div w:id="1683819138">
      <w:bodyDiv w:val="1"/>
      <w:marLeft w:val="0"/>
      <w:marRight w:val="0"/>
      <w:marTop w:val="0"/>
      <w:marBottom w:val="0"/>
      <w:divBdr>
        <w:top w:val="none" w:sz="0" w:space="0" w:color="auto"/>
        <w:left w:val="none" w:sz="0" w:space="0" w:color="auto"/>
        <w:bottom w:val="none" w:sz="0" w:space="0" w:color="auto"/>
        <w:right w:val="none" w:sz="0" w:space="0" w:color="auto"/>
      </w:divBdr>
    </w:div>
    <w:div w:id="1687556081">
      <w:bodyDiv w:val="1"/>
      <w:marLeft w:val="0"/>
      <w:marRight w:val="0"/>
      <w:marTop w:val="0"/>
      <w:marBottom w:val="0"/>
      <w:divBdr>
        <w:top w:val="none" w:sz="0" w:space="0" w:color="auto"/>
        <w:left w:val="none" w:sz="0" w:space="0" w:color="auto"/>
        <w:bottom w:val="none" w:sz="0" w:space="0" w:color="auto"/>
        <w:right w:val="none" w:sz="0" w:space="0" w:color="auto"/>
      </w:divBdr>
    </w:div>
    <w:div w:id="186878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Williams</dc:creator>
  <cp:keywords/>
  <dc:description/>
  <cp:lastModifiedBy>Jo Williams</cp:lastModifiedBy>
  <cp:revision>2</cp:revision>
  <dcterms:created xsi:type="dcterms:W3CDTF">2026-09-08T11:06:00Z</dcterms:created>
  <dcterms:modified xsi:type="dcterms:W3CDTF">2026-09-08T11:06:00Z</dcterms:modified>
</cp:coreProperties>
</file>